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18" w:type="dxa"/>
        <w:tblLook w:val="01E0" w:firstRow="1" w:lastRow="1" w:firstColumn="1" w:lastColumn="1" w:noHBand="0" w:noVBand="0"/>
      </w:tblPr>
      <w:tblGrid>
        <w:gridCol w:w="3828"/>
        <w:gridCol w:w="5670"/>
      </w:tblGrid>
      <w:tr w:rsidR="005D6C44" w:rsidTr="00B37736">
        <w:trPr>
          <w:trHeight w:val="536"/>
        </w:trPr>
        <w:tc>
          <w:tcPr>
            <w:tcW w:w="3828" w:type="dxa"/>
          </w:tcPr>
          <w:p w:rsidR="0018301E" w:rsidRDefault="0018301E" w:rsidP="00E06FDE">
            <w:pPr>
              <w:jc w:val="center"/>
              <w:rPr>
                <w:b/>
                <w:sz w:val="26"/>
                <w:szCs w:val="26"/>
              </w:rPr>
            </w:pPr>
            <w:r>
              <w:rPr>
                <w:b/>
                <w:sz w:val="26"/>
                <w:szCs w:val="26"/>
              </w:rPr>
              <w:t>ỦY BAN NHÂN DÂN</w:t>
            </w:r>
          </w:p>
          <w:p w:rsidR="005D6C44" w:rsidRPr="0018301E" w:rsidRDefault="005D6C44" w:rsidP="00E06FDE">
            <w:pPr>
              <w:jc w:val="center"/>
              <w:rPr>
                <w:b/>
                <w:sz w:val="26"/>
                <w:szCs w:val="26"/>
              </w:rPr>
            </w:pPr>
            <w:r w:rsidRPr="0018301E">
              <w:rPr>
                <w:b/>
                <w:sz w:val="26"/>
                <w:szCs w:val="26"/>
              </w:rPr>
              <w:t>TỈNH HÀ TĨNH</w:t>
            </w:r>
          </w:p>
          <w:p w:rsidR="005D6C44" w:rsidRPr="00FD6E06" w:rsidRDefault="00987DAC" w:rsidP="00E06FDE">
            <w:pPr>
              <w:jc w:val="center"/>
              <w:rPr>
                <w:b/>
              </w:rPr>
            </w:pPr>
            <w:r>
              <w:rPr>
                <w:b/>
                <w:noProof/>
                <w:sz w:val="26"/>
                <w:szCs w:val="26"/>
              </w:rPr>
              <mc:AlternateContent>
                <mc:Choice Requires="wps">
                  <w:drawing>
                    <wp:anchor distT="0" distB="0" distL="114300" distR="114300" simplePos="0" relativeHeight="251657216" behindDoc="0" locked="0" layoutInCell="1" allowOverlap="1" wp14:anchorId="47D8248B" wp14:editId="49FEC9FA">
                      <wp:simplePos x="0" y="0"/>
                      <wp:positionH relativeFrom="column">
                        <wp:posOffset>879739</wp:posOffset>
                      </wp:positionH>
                      <wp:positionV relativeFrom="paragraph">
                        <wp:posOffset>6985</wp:posOffset>
                      </wp:positionV>
                      <wp:extent cx="508958" cy="0"/>
                      <wp:effectExtent l="0" t="0" r="2476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5pt,.55pt" to="109.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yZkEQIAACc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"/>
                  </w:pict>
                </mc:Fallback>
              </mc:AlternateContent>
            </w:r>
          </w:p>
          <w:p w:rsidR="005D6C44" w:rsidRPr="00B37736" w:rsidRDefault="005D6C44" w:rsidP="00B37736">
            <w:pPr>
              <w:spacing w:after="40"/>
              <w:jc w:val="center"/>
              <w:rPr>
                <w:vertAlign w:val="subscript"/>
              </w:rPr>
            </w:pPr>
            <w:r>
              <w:t xml:space="preserve">Số: </w:t>
            </w:r>
            <w:r w:rsidR="00E871FE">
              <w:t>4119</w:t>
            </w:r>
            <w:r>
              <w:t>/UBND-</w:t>
            </w:r>
            <w:r w:rsidR="00656277">
              <w:t>PC</w:t>
            </w:r>
            <w:r w:rsidR="00D30E3B">
              <w:rPr>
                <w:vertAlign w:val="subscript"/>
              </w:rPr>
              <w:t>1</w:t>
            </w:r>
          </w:p>
          <w:p w:rsidR="00D30E3B" w:rsidRDefault="009A37FD" w:rsidP="00114382">
            <w:pPr>
              <w:jc w:val="center"/>
              <w:rPr>
                <w:sz w:val="24"/>
                <w:szCs w:val="24"/>
              </w:rPr>
            </w:pPr>
            <w:r>
              <w:rPr>
                <w:sz w:val="24"/>
                <w:szCs w:val="24"/>
              </w:rPr>
              <w:t xml:space="preserve">Về </w:t>
            </w:r>
            <w:r w:rsidR="00ED495F">
              <w:rPr>
                <w:sz w:val="24"/>
                <w:szCs w:val="24"/>
              </w:rPr>
              <w:t xml:space="preserve">việc đẩy mạnh </w:t>
            </w:r>
            <w:r w:rsidR="00114382">
              <w:rPr>
                <w:sz w:val="24"/>
                <w:szCs w:val="24"/>
              </w:rPr>
              <w:t xml:space="preserve">triển khai </w:t>
            </w:r>
          </w:p>
          <w:p w:rsidR="005D6C44" w:rsidRPr="009379C0" w:rsidRDefault="00114382" w:rsidP="00D30E3B">
            <w:pPr>
              <w:jc w:val="center"/>
              <w:rPr>
                <w:sz w:val="24"/>
                <w:szCs w:val="24"/>
              </w:rPr>
            </w:pPr>
            <w:r>
              <w:rPr>
                <w:sz w:val="24"/>
                <w:szCs w:val="24"/>
              </w:rPr>
              <w:t xml:space="preserve">thực hiện các nhiệm vụ </w:t>
            </w:r>
            <w:r w:rsidR="00D30E3B">
              <w:rPr>
                <w:sz w:val="24"/>
                <w:szCs w:val="24"/>
              </w:rPr>
              <w:t>CCHC</w:t>
            </w:r>
          </w:p>
        </w:tc>
        <w:tc>
          <w:tcPr>
            <w:tcW w:w="5670" w:type="dxa"/>
          </w:tcPr>
          <w:p w:rsidR="005D6C44" w:rsidRPr="00B37736" w:rsidRDefault="005D6C44" w:rsidP="00E06FDE">
            <w:pPr>
              <w:jc w:val="center"/>
              <w:rPr>
                <w:b/>
                <w:sz w:val="26"/>
                <w:szCs w:val="24"/>
              </w:rPr>
            </w:pPr>
            <w:r w:rsidRPr="00B37736">
              <w:rPr>
                <w:b/>
                <w:sz w:val="26"/>
                <w:szCs w:val="24"/>
              </w:rPr>
              <w:t xml:space="preserve">CỘNG HÒA XÃ HỘI CHỦ NGHĨA VIỆT </w:t>
            </w:r>
            <w:smartTag w:uri="urn:schemas-microsoft-com:office:smarttags" w:element="place">
              <w:smartTag w:uri="urn:schemas-microsoft-com:office:smarttags" w:element="country-region">
                <w:r w:rsidRPr="00B37736">
                  <w:rPr>
                    <w:b/>
                    <w:sz w:val="26"/>
                    <w:szCs w:val="24"/>
                  </w:rPr>
                  <w:t>NAM</w:t>
                </w:r>
              </w:smartTag>
            </w:smartTag>
          </w:p>
          <w:p w:rsidR="005D6C44" w:rsidRPr="00B37736" w:rsidRDefault="005D6C44" w:rsidP="00E06FDE">
            <w:pPr>
              <w:jc w:val="center"/>
              <w:rPr>
                <w:b/>
                <w:szCs w:val="26"/>
              </w:rPr>
            </w:pPr>
            <w:r w:rsidRPr="00B37736">
              <w:rPr>
                <w:b/>
                <w:szCs w:val="26"/>
              </w:rPr>
              <w:t>Độc lập - Tự do - Hạnh phúc</w:t>
            </w:r>
          </w:p>
          <w:p w:rsidR="005D6C44" w:rsidRDefault="00987DAC" w:rsidP="00274B6F">
            <w:pPr>
              <w:tabs>
                <w:tab w:val="center" w:pos="2608"/>
                <w:tab w:val="left" w:pos="3615"/>
              </w:tabs>
            </w:pPr>
            <w:r>
              <w:rPr>
                <w:b/>
                <w:noProof/>
                <w:sz w:val="24"/>
                <w:szCs w:val="24"/>
              </w:rPr>
              <mc:AlternateContent>
                <mc:Choice Requires="wps">
                  <w:drawing>
                    <wp:anchor distT="0" distB="0" distL="114300" distR="114300" simplePos="0" relativeHeight="251656192" behindDoc="0" locked="0" layoutInCell="1" allowOverlap="1" wp14:anchorId="4E9761B9" wp14:editId="208CD13F">
                      <wp:simplePos x="0" y="0"/>
                      <wp:positionH relativeFrom="column">
                        <wp:posOffset>653415</wp:posOffset>
                      </wp:positionH>
                      <wp:positionV relativeFrom="paragraph">
                        <wp:posOffset>16510</wp:posOffset>
                      </wp:positionV>
                      <wp:extent cx="1966595" cy="0"/>
                      <wp:effectExtent l="5715" t="6985" r="8890"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5pt,1.3pt" to="206.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5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"/>
                  </w:pict>
                </mc:Fallback>
              </mc:AlternateContent>
            </w:r>
            <w:r w:rsidR="00274B6F">
              <w:tab/>
            </w:r>
            <w:r w:rsidR="00274B6F">
              <w:tab/>
            </w:r>
          </w:p>
          <w:p w:rsidR="005D6C44" w:rsidRPr="00FD6E06" w:rsidRDefault="001A533E" w:rsidP="00E871FE">
            <w:pPr>
              <w:jc w:val="center"/>
              <w:rPr>
                <w:i/>
              </w:rPr>
            </w:pPr>
            <w:r>
              <w:rPr>
                <w:i/>
              </w:rPr>
              <w:t xml:space="preserve">Hà Tĩnh, ngày </w:t>
            </w:r>
            <w:r w:rsidR="00E871FE">
              <w:rPr>
                <w:i/>
              </w:rPr>
              <w:t>25</w:t>
            </w:r>
            <w:r w:rsidR="004B4931">
              <w:rPr>
                <w:i/>
              </w:rPr>
              <w:t xml:space="preserve"> </w:t>
            </w:r>
            <w:r w:rsidR="00114382">
              <w:rPr>
                <w:i/>
              </w:rPr>
              <w:t xml:space="preserve">tháng </w:t>
            </w:r>
            <w:r w:rsidR="00C671D2">
              <w:rPr>
                <w:i/>
              </w:rPr>
              <w:t>6</w:t>
            </w:r>
            <w:r w:rsidR="005D6C44" w:rsidRPr="00FD6E06">
              <w:rPr>
                <w:i/>
              </w:rPr>
              <w:t xml:space="preserve">  năm 201</w:t>
            </w:r>
            <w:r w:rsidR="00C66130">
              <w:rPr>
                <w:i/>
              </w:rPr>
              <w:t>9</w:t>
            </w:r>
          </w:p>
        </w:tc>
      </w:tr>
    </w:tbl>
    <w:p w:rsidR="00AF307C" w:rsidRDefault="005D6C44" w:rsidP="00166851">
      <w:pPr>
        <w:rPr>
          <w:sz w:val="16"/>
          <w:szCs w:val="16"/>
        </w:rPr>
      </w:pPr>
      <w:r>
        <w:t xml:space="preserve"> </w:t>
      </w:r>
    </w:p>
    <w:p w:rsidR="00166851" w:rsidRDefault="00166851" w:rsidP="00166851">
      <w:pPr>
        <w:rPr>
          <w:sz w:val="16"/>
          <w:szCs w:val="16"/>
        </w:rPr>
      </w:pPr>
    </w:p>
    <w:p w:rsidR="007F3FB0" w:rsidRPr="00166851" w:rsidRDefault="007F3FB0" w:rsidP="00166851">
      <w:pPr>
        <w:rPr>
          <w:sz w:val="16"/>
          <w:szCs w:val="16"/>
        </w:rPr>
      </w:pPr>
    </w:p>
    <w:p w:rsidR="0018301E" w:rsidRDefault="00166851" w:rsidP="00E27FC4">
      <w:pPr>
        <w:ind w:firstLine="720"/>
        <w:jc w:val="both"/>
      </w:pPr>
      <w:r>
        <w:t xml:space="preserve">           </w:t>
      </w:r>
      <w:r w:rsidR="00D30E3B">
        <w:t xml:space="preserve">  </w:t>
      </w:r>
      <w:r w:rsidR="00392DD7">
        <w:t xml:space="preserve">  </w:t>
      </w:r>
      <w:r w:rsidR="00D30E3B">
        <w:t xml:space="preserve"> </w:t>
      </w:r>
      <w:r w:rsidR="0018301E">
        <w:t>Kính gửi:</w:t>
      </w:r>
    </w:p>
    <w:p w:rsidR="0018301E" w:rsidRDefault="0018301E" w:rsidP="0018301E">
      <w:pPr>
        <w:ind w:left="1440" w:firstLine="720"/>
        <w:jc w:val="both"/>
      </w:pPr>
      <w:r>
        <w:t xml:space="preserve">     </w:t>
      </w:r>
      <w:r>
        <w:tab/>
        <w:t xml:space="preserve">    - </w:t>
      </w:r>
      <w:r w:rsidR="00114382">
        <w:t>Các sở, ban, ngành</w:t>
      </w:r>
      <w:r w:rsidR="00D30E3B">
        <w:t xml:space="preserve"> cấp tỉnh</w:t>
      </w:r>
      <w:r w:rsidR="00114382">
        <w:t>;</w:t>
      </w:r>
    </w:p>
    <w:p w:rsidR="0018301E" w:rsidRDefault="0018301E" w:rsidP="0018301E">
      <w:pPr>
        <w:ind w:left="1440" w:firstLine="720"/>
        <w:jc w:val="both"/>
      </w:pPr>
      <w:r>
        <w:t xml:space="preserve">     </w:t>
      </w:r>
      <w:r>
        <w:tab/>
        <w:t xml:space="preserve">    - </w:t>
      </w:r>
      <w:r w:rsidR="00114382">
        <w:t>UBND các huyện, thành phố, thị xã</w:t>
      </w:r>
      <w:r w:rsidR="00166851">
        <w:t xml:space="preserve">; </w:t>
      </w:r>
    </w:p>
    <w:p w:rsidR="00936165" w:rsidRDefault="0018301E" w:rsidP="00114382">
      <w:pPr>
        <w:ind w:left="1440" w:firstLine="720"/>
        <w:jc w:val="both"/>
      </w:pPr>
      <w:r>
        <w:t xml:space="preserve">     </w:t>
      </w:r>
      <w:r>
        <w:tab/>
        <w:t xml:space="preserve">    - </w:t>
      </w:r>
      <w:r w:rsidR="00114382">
        <w:t xml:space="preserve">Các </w:t>
      </w:r>
      <w:r w:rsidR="00CF11FA">
        <w:t>cơ quan</w:t>
      </w:r>
      <w:r w:rsidR="00114382">
        <w:t xml:space="preserve"> Tr</w:t>
      </w:r>
      <w:r w:rsidR="008A4EB9">
        <w:t>ung ương đóng trên địa bàn tỉnh.</w:t>
      </w:r>
    </w:p>
    <w:p w:rsidR="00FE5817" w:rsidRDefault="00FE5817" w:rsidP="00FF5425">
      <w:pPr>
        <w:spacing w:after="60" w:line="264" w:lineRule="auto"/>
        <w:ind w:firstLine="720"/>
        <w:jc w:val="both"/>
        <w:rPr>
          <w:sz w:val="16"/>
          <w:szCs w:val="16"/>
        </w:rPr>
      </w:pPr>
    </w:p>
    <w:p w:rsidR="00737975" w:rsidRDefault="00737975" w:rsidP="00FF5425">
      <w:pPr>
        <w:spacing w:after="60" w:line="264" w:lineRule="auto"/>
        <w:ind w:firstLine="720"/>
        <w:jc w:val="both"/>
        <w:rPr>
          <w:sz w:val="16"/>
          <w:szCs w:val="16"/>
        </w:rPr>
      </w:pPr>
    </w:p>
    <w:p w:rsidR="00397027" w:rsidRPr="00AC64CA" w:rsidRDefault="003F0C7A" w:rsidP="00737975">
      <w:pPr>
        <w:spacing w:after="120" w:line="252" w:lineRule="auto"/>
        <w:ind w:firstLine="624"/>
        <w:jc w:val="both"/>
      </w:pPr>
      <w:r>
        <w:rPr>
          <w:spacing w:val="-2"/>
        </w:rPr>
        <w:t xml:space="preserve">Thực hiện </w:t>
      </w:r>
      <w:r w:rsidR="00BB1907">
        <w:rPr>
          <w:spacing w:val="-2"/>
        </w:rPr>
        <w:t>Văn bản</w:t>
      </w:r>
      <w:r w:rsidRPr="0084127C">
        <w:rPr>
          <w:spacing w:val="-2"/>
        </w:rPr>
        <w:t xml:space="preserve"> số </w:t>
      </w:r>
      <w:r w:rsidR="008F18B7">
        <w:rPr>
          <w:spacing w:val="-2"/>
        </w:rPr>
        <w:t>202/TB-VPCP n</w:t>
      </w:r>
      <w:r w:rsidR="00607245">
        <w:rPr>
          <w:spacing w:val="-2"/>
        </w:rPr>
        <w:t xml:space="preserve">gày 04/6/2019 của Văn phòng Chính phủ </w:t>
      </w:r>
      <w:r w:rsidR="00480854">
        <w:rPr>
          <w:spacing w:val="-2"/>
        </w:rPr>
        <w:t>thông báo k</w:t>
      </w:r>
      <w:r w:rsidR="00607245">
        <w:rPr>
          <w:spacing w:val="-2"/>
        </w:rPr>
        <w:t xml:space="preserve">ết luận của Phó Thủ tướng Thường trực Chính phủ Trương Hòa Bình, Trưởng Ban Chỉ đạo </w:t>
      </w:r>
      <w:r w:rsidR="00BB1907">
        <w:rPr>
          <w:spacing w:val="-2"/>
        </w:rPr>
        <w:t xml:space="preserve">cải cách hành chính (CCHC) </w:t>
      </w:r>
      <w:r w:rsidR="00607245">
        <w:rPr>
          <w:spacing w:val="-2"/>
        </w:rPr>
        <w:t xml:space="preserve">của Chính phủ tại Hội nghị công bố Chỉ số CCHC năm </w:t>
      </w:r>
      <w:r w:rsidR="00BB1907">
        <w:rPr>
          <w:spacing w:val="-2"/>
        </w:rPr>
        <w:t xml:space="preserve">2018 </w:t>
      </w:r>
      <w:r w:rsidR="00607245">
        <w:rPr>
          <w:spacing w:val="-2"/>
        </w:rPr>
        <w:t xml:space="preserve">của các bộ, cơ quan ngang bộ, UBND các tỉnh, thành phố trực thuộc Trung ương và </w:t>
      </w:r>
      <w:r w:rsidR="00B30C46">
        <w:rPr>
          <w:spacing w:val="-2"/>
        </w:rPr>
        <w:t xml:space="preserve">Chỉ </w:t>
      </w:r>
      <w:r w:rsidR="00607245">
        <w:rPr>
          <w:spacing w:val="-2"/>
        </w:rPr>
        <w:t xml:space="preserve">số </w:t>
      </w:r>
      <w:r w:rsidR="00B30C46">
        <w:rPr>
          <w:spacing w:val="-2"/>
        </w:rPr>
        <w:t xml:space="preserve">hài </w:t>
      </w:r>
      <w:r w:rsidR="00607245">
        <w:rPr>
          <w:spacing w:val="-2"/>
        </w:rPr>
        <w:t xml:space="preserve">lòng về sự phục vụ hành chính năm 2018; </w:t>
      </w:r>
      <w:r w:rsidR="00B30C46">
        <w:rPr>
          <w:spacing w:val="-2"/>
        </w:rPr>
        <w:t>Văn bản</w:t>
      </w:r>
      <w:r w:rsidR="00607245">
        <w:rPr>
          <w:spacing w:val="-2"/>
        </w:rPr>
        <w:t xml:space="preserve"> số </w:t>
      </w:r>
      <w:r w:rsidRPr="0084127C">
        <w:rPr>
          <w:spacing w:val="-2"/>
        </w:rPr>
        <w:t>98/TB-VPCP ngày 18/3/2019 của Văn phòng Chính phủ</w:t>
      </w:r>
      <w:r w:rsidRPr="0084127C">
        <w:rPr>
          <w:snapToGrid w:val="0"/>
          <w:spacing w:val="-2"/>
        </w:rPr>
        <w:t xml:space="preserve"> </w:t>
      </w:r>
      <w:r w:rsidR="00480854">
        <w:rPr>
          <w:snapToGrid w:val="0"/>
          <w:spacing w:val="-2"/>
        </w:rPr>
        <w:t>t</w:t>
      </w:r>
      <w:r w:rsidRPr="0084127C">
        <w:rPr>
          <w:snapToGrid w:val="0"/>
          <w:spacing w:val="-2"/>
        </w:rPr>
        <w:t>hông báo ý kiến kết luận của Thủ tướng Chính phủ Nguyễn Xuân Phúc tại cuộc họp tổng kết công tác CCHC năm 2018</w:t>
      </w:r>
      <w:r w:rsidR="00D30E3B">
        <w:t xml:space="preserve">; </w:t>
      </w:r>
      <w:r w:rsidR="0093130D">
        <w:t xml:space="preserve">Quyết định số </w:t>
      </w:r>
      <w:r w:rsidR="004303A0">
        <w:t xml:space="preserve">75/QĐ-BCĐCCHC ngày 24/4/2019 của Ban Chỉ đạo </w:t>
      </w:r>
      <w:r w:rsidR="00B523ED">
        <w:t>CCHC</w:t>
      </w:r>
      <w:r w:rsidR="004303A0">
        <w:t xml:space="preserve"> của Chính phủ về kế hoạch hoạt động năm 2019 của Ban Chỉ đạo </w:t>
      </w:r>
      <w:r w:rsidR="00B30C46">
        <w:t>CCHC</w:t>
      </w:r>
      <w:r w:rsidR="004303A0">
        <w:t xml:space="preserve"> của Chính phủ; </w:t>
      </w:r>
      <w:r w:rsidR="00216944">
        <w:t xml:space="preserve">để triển khai có hiệu quả các nhiệm vụ </w:t>
      </w:r>
      <w:r w:rsidR="00B30C46">
        <w:t>CCHC</w:t>
      </w:r>
      <w:r w:rsidR="00216944">
        <w:t xml:space="preserve"> </w:t>
      </w:r>
      <w:r>
        <w:t>của tỉnh</w:t>
      </w:r>
      <w:r w:rsidR="00216944">
        <w:t xml:space="preserve"> trong t</w:t>
      </w:r>
      <w:r w:rsidR="00397027">
        <w:t xml:space="preserve">hời gian tới, </w:t>
      </w:r>
      <w:r w:rsidR="00B523ED">
        <w:t>UBND</w:t>
      </w:r>
      <w:r w:rsidR="00397027">
        <w:t xml:space="preserve"> tỉnh yêu cầu</w:t>
      </w:r>
      <w:r w:rsidR="00AC64CA">
        <w:t xml:space="preserve"> </w:t>
      </w:r>
      <w:r w:rsidR="00B523ED">
        <w:t>Giám đốc (</w:t>
      </w:r>
      <w:r w:rsidR="00397027" w:rsidRPr="00397027">
        <w:t>Thủ trưởng</w:t>
      </w:r>
      <w:r w:rsidR="00B523ED">
        <w:t>)</w:t>
      </w:r>
      <w:r w:rsidR="00397027" w:rsidRPr="00397027">
        <w:t xml:space="preserve"> các </w:t>
      </w:r>
      <w:r w:rsidR="001523C5">
        <w:t>s</w:t>
      </w:r>
      <w:r w:rsidR="001523C5" w:rsidRPr="00397027">
        <w:t>ở</w:t>
      </w:r>
      <w:r w:rsidR="00397027" w:rsidRPr="00397027">
        <w:t>,</w:t>
      </w:r>
      <w:r w:rsidR="003443A8">
        <w:t xml:space="preserve"> ban, ngành cấp tỉnh, Chủ tịch </w:t>
      </w:r>
      <w:r w:rsidR="00B523ED">
        <w:t>UBND</w:t>
      </w:r>
      <w:r w:rsidR="00397027" w:rsidRPr="00397027">
        <w:t xml:space="preserve"> các huyện, thành phố, thị xã</w:t>
      </w:r>
      <w:r w:rsidR="00B523ED">
        <w:t xml:space="preserve">; các cơ quan Trung ương đóng trên địa bàn tỉnh thực hiện nghiêm túc </w:t>
      </w:r>
      <w:r w:rsidR="00D30E3B">
        <w:t>các</w:t>
      </w:r>
      <w:r w:rsidR="00B523ED">
        <w:t xml:space="preserve"> nội dung sau</w:t>
      </w:r>
      <w:r w:rsidR="00397027">
        <w:t>:</w:t>
      </w:r>
    </w:p>
    <w:p w:rsidR="00055F4F" w:rsidRDefault="00AC64CA" w:rsidP="00737975">
      <w:pPr>
        <w:shd w:val="clear" w:color="auto" w:fill="FFFFFF"/>
        <w:spacing w:after="120" w:line="252" w:lineRule="auto"/>
        <w:ind w:firstLine="567"/>
        <w:jc w:val="both"/>
        <w:rPr>
          <w:lang w:val="nl-NL"/>
        </w:rPr>
      </w:pPr>
      <w:r w:rsidRPr="00B37736">
        <w:t>1.</w:t>
      </w:r>
      <w:r w:rsidR="00603E02">
        <w:t xml:space="preserve"> </w:t>
      </w:r>
      <w:r w:rsidR="006F3CEB" w:rsidRPr="00677CE5">
        <w:rPr>
          <w:lang w:val="vi-VN"/>
        </w:rPr>
        <w:t xml:space="preserve">Tập trung chỉ đạo, triển khai </w:t>
      </w:r>
      <w:r w:rsidR="002E7135">
        <w:t xml:space="preserve">các nhiệm vụ tại </w:t>
      </w:r>
      <w:r w:rsidR="00216944">
        <w:t xml:space="preserve">Kế hoạch số 239/KH-UBND ngày 29/7/2016 của UBND tỉnh về kế hoạch </w:t>
      </w:r>
      <w:r w:rsidR="00802903">
        <w:t>CCHC</w:t>
      </w:r>
      <w:r w:rsidR="006F3CEB">
        <w:t xml:space="preserve"> giai đoạn 2016 -</w:t>
      </w:r>
      <w:r w:rsidR="00216944">
        <w:t xml:space="preserve"> 2020 trên địa bàn tỉnh </w:t>
      </w:r>
      <w:r w:rsidR="00D30E3B">
        <w:t xml:space="preserve">Hà Tĩnh </w:t>
      </w:r>
      <w:r w:rsidR="002E7135">
        <w:t>và Kế hoạch số 431/KH-UBND ngày 28/12/201</w:t>
      </w:r>
      <w:r w:rsidR="00763A25">
        <w:t xml:space="preserve">8 của UBND tỉnh về </w:t>
      </w:r>
      <w:r w:rsidR="00802903">
        <w:t xml:space="preserve">kế </w:t>
      </w:r>
      <w:r w:rsidR="00763A25">
        <w:t xml:space="preserve">hoạch </w:t>
      </w:r>
      <w:r w:rsidR="00802903">
        <w:t>CCHC</w:t>
      </w:r>
      <w:r w:rsidR="002E7135">
        <w:t xml:space="preserve"> năm 2019</w:t>
      </w:r>
      <w:r w:rsidR="00FC3BEF">
        <w:t xml:space="preserve"> một cách đồng bộ, toàn diện</w:t>
      </w:r>
      <w:r w:rsidR="00DC6CBB">
        <w:t xml:space="preserve"> trong đó </w:t>
      </w:r>
      <w:r w:rsidR="006A66D1" w:rsidRPr="002F2E9D">
        <w:t>tập trung</w:t>
      </w:r>
      <w:r w:rsidR="00734153">
        <w:t xml:space="preserve"> các nhiệm vụ mang tính đột</w:t>
      </w:r>
      <w:r w:rsidR="00DC6CBB">
        <w:t xml:space="preserve"> phá</w:t>
      </w:r>
      <w:r w:rsidR="00802903">
        <w:t xml:space="preserve"> như</w:t>
      </w:r>
      <w:r w:rsidR="00DC6CBB">
        <w:t>:</w:t>
      </w:r>
      <w:r w:rsidR="006A66D1" w:rsidRPr="002F2E9D">
        <w:t xml:space="preserve"> </w:t>
      </w:r>
      <w:r w:rsidR="007F5ACC">
        <w:t>Đẩy</w:t>
      </w:r>
      <w:r w:rsidR="003A1C35">
        <w:t xml:space="preserve"> mạnh đ</w:t>
      </w:r>
      <w:r w:rsidR="006A66D1" w:rsidRPr="002F2E9D">
        <w:rPr>
          <w:lang w:val="nl-NL"/>
        </w:rPr>
        <w:t>ổi mới, sắp xếp tổ chức bộ máy của cơ quan nhà nước gắn với tinh giản biên chế</w:t>
      </w:r>
      <w:r w:rsidR="003443A8">
        <w:rPr>
          <w:lang w:val="nl-NL"/>
        </w:rPr>
        <w:t>,</w:t>
      </w:r>
      <w:r w:rsidR="006A66D1" w:rsidRPr="002F2E9D">
        <w:rPr>
          <w:lang w:val="nl-NL"/>
        </w:rPr>
        <w:t xml:space="preserve"> cơ cấu lại, nâng cao chất lượng, sử dụng hiệu quả đội ngũ cán bộ, công chức, viên chức</w:t>
      </w:r>
      <w:r w:rsidR="00F256A7">
        <w:rPr>
          <w:lang w:val="nl-NL"/>
        </w:rPr>
        <w:t xml:space="preserve"> (CBCCVC)</w:t>
      </w:r>
      <w:r w:rsidR="006A66D1" w:rsidRPr="002F2E9D">
        <w:rPr>
          <w:lang w:val="nl-NL"/>
        </w:rPr>
        <w:t>, nâng cao hiệu lực</w:t>
      </w:r>
      <w:r w:rsidR="003A1C35">
        <w:rPr>
          <w:lang w:val="nl-NL"/>
        </w:rPr>
        <w:t>, hiệu quả quản lý của Nhà nước;</w:t>
      </w:r>
      <w:r w:rsidR="006A66D1" w:rsidRPr="002F2E9D">
        <w:rPr>
          <w:lang w:val="nl-NL"/>
        </w:rPr>
        <w:t xml:space="preserve"> </w:t>
      </w:r>
      <w:r w:rsidR="003443A8">
        <w:t xml:space="preserve">cải cách </w:t>
      </w:r>
      <w:r w:rsidR="00802903">
        <w:t xml:space="preserve">thủ </w:t>
      </w:r>
      <w:r w:rsidR="003443A8">
        <w:t>tục hành chính</w:t>
      </w:r>
      <w:r w:rsidR="005847E1">
        <w:t xml:space="preserve"> (TTHC)</w:t>
      </w:r>
      <w:r w:rsidR="006A66D1" w:rsidRPr="002F2E9D">
        <w:t xml:space="preserve"> gắn </w:t>
      </w:r>
      <w:r w:rsidR="006A66D1">
        <w:t xml:space="preserve">với </w:t>
      </w:r>
      <w:r w:rsidR="006A66D1" w:rsidRPr="002F2E9D">
        <w:t xml:space="preserve">thực hiện </w:t>
      </w:r>
      <w:r w:rsidR="00802903">
        <w:t xml:space="preserve">có </w:t>
      </w:r>
      <w:r w:rsidR="006A66D1" w:rsidRPr="002F2E9D">
        <w:t xml:space="preserve">hiệu quả cơ </w:t>
      </w:r>
      <w:r w:rsidR="00763A25">
        <w:t>chế một cửa, một cửa liên thông,</w:t>
      </w:r>
      <w:r w:rsidR="006A66D1" w:rsidRPr="002F2E9D">
        <w:t xml:space="preserve"> </w:t>
      </w:r>
      <w:r w:rsidR="00802903">
        <w:t xml:space="preserve">trong đó thực hiện </w:t>
      </w:r>
      <w:r w:rsidR="006A66D1" w:rsidRPr="002F2E9D">
        <w:t>giải quyết TTHC</w:t>
      </w:r>
      <w:r w:rsidR="00802903">
        <w:t xml:space="preserve"> theo đúng quy trình, quy định, đảm bảo</w:t>
      </w:r>
      <w:r w:rsidR="006A66D1" w:rsidRPr="002F2E9D">
        <w:t xml:space="preserve"> kịp thời, nhanh chóng, công bằng, bình đẳng, khách quan</w:t>
      </w:r>
      <w:r w:rsidR="00802903">
        <w:t>;</w:t>
      </w:r>
      <w:r w:rsidR="00802903" w:rsidRPr="002F2E9D">
        <w:t xml:space="preserve"> </w:t>
      </w:r>
      <w:r w:rsidR="006A66D1" w:rsidRPr="002F2E9D">
        <w:t>công khai minh bạch và có sự phối hợp chặt chẽ</w:t>
      </w:r>
      <w:r w:rsidR="00763A25">
        <w:t xml:space="preserve"> giữa các cơ quan có thẩm quyền,</w:t>
      </w:r>
      <w:r w:rsidR="006A66D1" w:rsidRPr="002F2E9D">
        <w:t xml:space="preserve"> lấy sự hài lòng của tổ chức, cá nhân là thước đo chất lượng, hiệu quả phục vụ của CBCCVC và các cơ quan hành chính nhà nước</w:t>
      </w:r>
      <w:r w:rsidR="006A66D1">
        <w:t>; k</w:t>
      </w:r>
      <w:r w:rsidR="00D565D7" w:rsidRPr="00677CE5">
        <w:t>ị</w:t>
      </w:r>
      <w:r w:rsidR="00D565D7" w:rsidRPr="00677CE5">
        <w:rPr>
          <w:lang w:val="nl-NL"/>
        </w:rPr>
        <w:t xml:space="preserve">p thời khắc phục </w:t>
      </w:r>
      <w:r w:rsidR="00CB19C8">
        <w:rPr>
          <w:lang w:val="nl-NL"/>
        </w:rPr>
        <w:t xml:space="preserve">ngay </w:t>
      </w:r>
      <w:r w:rsidR="00D565D7" w:rsidRPr="00677CE5">
        <w:rPr>
          <w:lang w:val="nl-NL"/>
        </w:rPr>
        <w:t>những tồn tại, hạn chế</w:t>
      </w:r>
      <w:r w:rsidR="006A66D1">
        <w:rPr>
          <w:lang w:val="nl-NL"/>
        </w:rPr>
        <w:t xml:space="preserve">, </w:t>
      </w:r>
      <w:r w:rsidR="00D30E3B">
        <w:rPr>
          <w:lang w:val="nl-NL"/>
        </w:rPr>
        <w:t xml:space="preserve">đồng thời </w:t>
      </w:r>
      <w:r w:rsidR="00D565D7" w:rsidRPr="00677CE5">
        <w:rPr>
          <w:lang w:val="nl-NL"/>
        </w:rPr>
        <w:t>đề cao trách nhiệm của người đứng đầu trong công tác chỉ đạo, điều hành</w:t>
      </w:r>
      <w:r w:rsidR="00AD67C4">
        <w:rPr>
          <w:lang w:val="nl-NL"/>
        </w:rPr>
        <w:t xml:space="preserve"> CCHC.</w:t>
      </w:r>
      <w:r w:rsidR="00FD2405">
        <w:rPr>
          <w:lang w:val="nl-NL"/>
        </w:rPr>
        <w:t xml:space="preserve"> </w:t>
      </w:r>
    </w:p>
    <w:p w:rsidR="00F27766" w:rsidRPr="00CD5A54" w:rsidRDefault="007B23EA" w:rsidP="00737975">
      <w:pPr>
        <w:spacing w:after="120" w:line="252" w:lineRule="auto"/>
        <w:ind w:firstLine="720"/>
        <w:jc w:val="both"/>
        <w:rPr>
          <w:i/>
        </w:rPr>
      </w:pPr>
      <w:r w:rsidRPr="00B37736">
        <w:lastRenderedPageBreak/>
        <w:t>2.</w:t>
      </w:r>
      <w:r>
        <w:t xml:space="preserve"> </w:t>
      </w:r>
      <w:r w:rsidRPr="00694774">
        <w:t>Thủ trưởng các cơ quan, đơn vị, Chủ tịch UBND các địa phương</w:t>
      </w:r>
      <w:r w:rsidR="00CD5A54">
        <w:t xml:space="preserve"> </w:t>
      </w:r>
      <w:r w:rsidR="00CD5A54" w:rsidRPr="00694774">
        <w:t>nhận thức rõ trọng trách là người đứng đầu quản lý ngành, lĩnh vực và địa phương, quán triệt sâu sắc tinh thần “Kỷ cương, liêm chính, hành động, sáng tạo</w:t>
      </w:r>
      <w:r w:rsidR="00CD5A54">
        <w:t>, bứt phá,</w:t>
      </w:r>
      <w:r w:rsidR="00CD5A54" w:rsidRPr="00694774">
        <w:t xml:space="preserve"> hiệu quả”; tiếp tục triển khai thực hiện quyết liệt, đồng bộ các nhiệm vụ, giải pháp đã đề ra trong các nghị quyết, chương trình, kế hoạch hành động của Tỉnh ủy, HĐND</w:t>
      </w:r>
      <w:r w:rsidR="00802903">
        <w:t xml:space="preserve"> tỉnh và</w:t>
      </w:r>
      <w:r w:rsidR="00CD5A54" w:rsidRPr="00694774">
        <w:t xml:space="preserve"> UBND tỉnh</w:t>
      </w:r>
      <w:r w:rsidR="00CD5A54">
        <w:t>;</w:t>
      </w:r>
      <w:r w:rsidRPr="00694774">
        <w:t xml:space="preserve"> căn cứ chức năng, nhiệm vụ, quyền hạn được giao chủ động đề ra các biện pháp, phân công trách nhiệm và nhiệm vụ </w:t>
      </w:r>
      <w:r w:rsidR="00B523ED">
        <w:t>theo</w:t>
      </w:r>
      <w:r w:rsidR="00B523ED" w:rsidRPr="00694774">
        <w:t xml:space="preserve"> </w:t>
      </w:r>
      <w:r w:rsidRPr="00694774">
        <w:t>nguyên tắc “</w:t>
      </w:r>
      <w:r w:rsidRPr="00F6461C">
        <w:rPr>
          <w:iCs/>
          <w:lang w:val="vi-VN"/>
        </w:rPr>
        <w:t>rõ người, rõ việc, rõ trách nhiệm, rõ quy trình</w:t>
      </w:r>
      <w:r w:rsidRPr="00694774">
        <w:t>” cho các phòng, ban, đơn vị chủ trì, phối hợp và cho từng CBCCVC để triển khai thực hiện tại cơ quan, đơn vị, địa phương nhằm nâng cao chất lượng, hiệu quả của công tác CCHC hàng năm, giai đoạn theo chỉ đạo của UBND tỉnh</w:t>
      </w:r>
      <w:r>
        <w:t>.</w:t>
      </w:r>
      <w:r w:rsidRPr="00694774">
        <w:t xml:space="preserve"> </w:t>
      </w:r>
      <w:r>
        <w:t>T</w:t>
      </w:r>
      <w:r w:rsidRPr="0028574C">
        <w:t>rong đó, cần đặc biệt quan tâm cải thi</w:t>
      </w:r>
      <w:r>
        <w:t>ện các chỉ số nội dung/tiêu chí/t</w:t>
      </w:r>
      <w:r w:rsidRPr="0028574C">
        <w:t>iêu chí thành phần (gọi chung là nội dung) có điểm số thấp và thứ hạng chưa</w:t>
      </w:r>
      <w:r>
        <w:t xml:space="preserve"> cao</w:t>
      </w:r>
      <w:r w:rsidRPr="0028574C">
        <w:t>; đồng thời giữ vững và phát triển các nội dung được đánh giá thực hiện tốt trong kết quả</w:t>
      </w:r>
      <w:r>
        <w:t xml:space="preserve"> </w:t>
      </w:r>
      <w:r w:rsidRPr="0028574C">
        <w:t>PAR</w:t>
      </w:r>
      <w:r>
        <w:t xml:space="preserve"> </w:t>
      </w:r>
      <w:r w:rsidRPr="0028574C">
        <w:t>INDEX</w:t>
      </w:r>
      <w:r>
        <w:t xml:space="preserve">, SIPAS, </w:t>
      </w:r>
      <w:r w:rsidRPr="0028574C">
        <w:t>PAPI</w:t>
      </w:r>
      <w:r>
        <w:t xml:space="preserve"> năm 2018 thuộc lĩnh vực CCHC đơn vị mình phụ trách </w:t>
      </w:r>
      <w:r w:rsidRPr="00A65B42">
        <w:rPr>
          <w:i/>
        </w:rPr>
        <w:t>(</w:t>
      </w:r>
      <w:r w:rsidR="00D30E3B">
        <w:rPr>
          <w:i/>
        </w:rPr>
        <w:t>C</w:t>
      </w:r>
      <w:r w:rsidR="00802903" w:rsidRPr="00A65B42">
        <w:rPr>
          <w:i/>
        </w:rPr>
        <w:t xml:space="preserve">ó </w:t>
      </w:r>
      <w:r w:rsidR="00802903">
        <w:rPr>
          <w:i/>
        </w:rPr>
        <w:t>P</w:t>
      </w:r>
      <w:r w:rsidR="00802903" w:rsidRPr="00A65B42">
        <w:rPr>
          <w:i/>
        </w:rPr>
        <w:t xml:space="preserve">hụ </w:t>
      </w:r>
      <w:r w:rsidRPr="00A65B42">
        <w:rPr>
          <w:i/>
        </w:rPr>
        <w:t xml:space="preserve">lục phân tích kết quả các chỉ số </w:t>
      </w:r>
      <w:r>
        <w:rPr>
          <w:i/>
        </w:rPr>
        <w:t xml:space="preserve">năm 2018 </w:t>
      </w:r>
      <w:r w:rsidRPr="00A65B42">
        <w:rPr>
          <w:i/>
        </w:rPr>
        <w:t>kèm theo)</w:t>
      </w:r>
      <w:r>
        <w:rPr>
          <w:i/>
        </w:rPr>
        <w:t>.</w:t>
      </w:r>
    </w:p>
    <w:p w:rsidR="0058499A" w:rsidRPr="00D30E3B" w:rsidRDefault="00DB40F9" w:rsidP="00737975">
      <w:pPr>
        <w:spacing w:after="120" w:line="252" w:lineRule="auto"/>
        <w:ind w:firstLine="720"/>
        <w:jc w:val="both"/>
        <w:rPr>
          <w:szCs w:val="24"/>
          <w:lang w:val="pt-BR"/>
        </w:rPr>
      </w:pPr>
      <w:r w:rsidRPr="00B37736">
        <w:rPr>
          <w:lang w:val="en-AU"/>
        </w:rPr>
        <w:t>3</w:t>
      </w:r>
      <w:r w:rsidR="00AC64CA" w:rsidRPr="00B37736">
        <w:rPr>
          <w:lang w:val="en-AU"/>
        </w:rPr>
        <w:t>.</w:t>
      </w:r>
      <w:r w:rsidR="0086455F" w:rsidRPr="00D30E3B">
        <w:rPr>
          <w:lang w:val="en-AU"/>
        </w:rPr>
        <w:t xml:space="preserve"> </w:t>
      </w:r>
      <w:r w:rsidR="00B8347C" w:rsidRPr="00D30E3B">
        <w:rPr>
          <w:szCs w:val="24"/>
          <w:lang w:val="pt-BR"/>
        </w:rPr>
        <w:t xml:space="preserve">Nâng cao chất lượng xây dựng, ban hành văn bản quy phạm pháp luật, đảm bảo </w:t>
      </w:r>
      <w:r w:rsidR="00940E18" w:rsidRPr="00D30E3B">
        <w:rPr>
          <w:lang w:val="nl-NL"/>
        </w:rPr>
        <w:t>đúng trình tự, thủ tục theo quy định của pháp luật, đảm bảo tính hợp hiến, hợp pháp, tính thống nhất và phù hợp</w:t>
      </w:r>
      <w:r w:rsidR="00940E18" w:rsidRPr="008B2FE7">
        <w:rPr>
          <w:lang w:val="nl-NL"/>
        </w:rPr>
        <w:t>. Thường xuyên r</w:t>
      </w:r>
      <w:r w:rsidR="00F90EF3" w:rsidRPr="008B2FE7">
        <w:rPr>
          <w:color w:val="000000"/>
          <w:szCs w:val="24"/>
          <w:lang w:val="pt-BR"/>
        </w:rPr>
        <w:t xml:space="preserve">à soát, sửa đổi, bổ sung, </w:t>
      </w:r>
      <w:r w:rsidR="00802903" w:rsidRPr="00392DD7">
        <w:rPr>
          <w:color w:val="000000"/>
          <w:szCs w:val="24"/>
          <w:lang w:val="pt-BR"/>
        </w:rPr>
        <w:t>bãi</w:t>
      </w:r>
      <w:r w:rsidR="00802903" w:rsidRPr="00D30E3B">
        <w:rPr>
          <w:color w:val="000000"/>
          <w:szCs w:val="24"/>
          <w:lang w:val="pt-BR"/>
        </w:rPr>
        <w:t xml:space="preserve"> </w:t>
      </w:r>
      <w:r w:rsidR="00F90EF3" w:rsidRPr="00D30E3B">
        <w:rPr>
          <w:color w:val="000000"/>
          <w:szCs w:val="24"/>
          <w:lang w:val="pt-BR"/>
        </w:rPr>
        <w:t xml:space="preserve">bỏ, ban hành mới các văn bản quy phạm pháp luật đảm bảo phù hợp với quy định của Trung ương, đáp ứng yêu cầu thực tiễn trong quản lý điều hành và </w:t>
      </w:r>
      <w:r w:rsidR="00394166" w:rsidRPr="00D30E3B">
        <w:rPr>
          <w:color w:val="000000"/>
          <w:szCs w:val="24"/>
          <w:lang w:val="pt-BR"/>
        </w:rPr>
        <w:t>thúc đẩy</w:t>
      </w:r>
      <w:r w:rsidR="00F90EF3" w:rsidRPr="00D30E3B">
        <w:rPr>
          <w:color w:val="000000"/>
          <w:szCs w:val="24"/>
          <w:lang w:val="pt-BR"/>
        </w:rPr>
        <w:t xml:space="preserve"> phát triển kinh tế </w:t>
      </w:r>
      <w:r w:rsidR="00802903" w:rsidRPr="00D30E3B">
        <w:rPr>
          <w:color w:val="000000"/>
          <w:szCs w:val="24"/>
          <w:lang w:val="pt-BR"/>
        </w:rPr>
        <w:t xml:space="preserve">- </w:t>
      </w:r>
      <w:r w:rsidR="00F90EF3" w:rsidRPr="00D30E3B">
        <w:rPr>
          <w:color w:val="000000"/>
          <w:szCs w:val="24"/>
          <w:lang w:val="pt-BR"/>
        </w:rPr>
        <w:t>xã hội của tỉnh</w:t>
      </w:r>
      <w:r w:rsidR="00394166" w:rsidRPr="00D30E3B">
        <w:rPr>
          <w:color w:val="000000"/>
          <w:szCs w:val="24"/>
          <w:lang w:val="pt-BR"/>
        </w:rPr>
        <w:t xml:space="preserve">, đồng thời góp phần </w:t>
      </w:r>
      <w:r w:rsidR="00F90EF3" w:rsidRPr="00D30E3B">
        <w:rPr>
          <w:szCs w:val="24"/>
          <w:lang w:val="pt-BR"/>
        </w:rPr>
        <w:t>hoàn thiện hệ thống cơ chế, chính sách để hỗ trợ, tạo điều kiện khai thông nguồn lực, thu hút các nhà đầu tư c</w:t>
      </w:r>
      <w:r w:rsidR="00480742" w:rsidRPr="00D30E3B">
        <w:rPr>
          <w:szCs w:val="24"/>
          <w:lang w:val="pt-BR"/>
        </w:rPr>
        <w:t>hiến lược, nhà đầu tư tiềm năng.</w:t>
      </w:r>
    </w:p>
    <w:p w:rsidR="00B523ED" w:rsidRPr="00D30E3B" w:rsidRDefault="00DB40F9" w:rsidP="00B523ED">
      <w:pPr>
        <w:spacing w:after="60"/>
        <w:ind w:firstLine="720"/>
        <w:jc w:val="both"/>
      </w:pPr>
      <w:r w:rsidRPr="00B37736">
        <w:rPr>
          <w:szCs w:val="24"/>
          <w:lang w:val="pt-BR"/>
        </w:rPr>
        <w:t>4</w:t>
      </w:r>
      <w:r w:rsidR="00AC64CA" w:rsidRPr="00B37736">
        <w:rPr>
          <w:szCs w:val="24"/>
          <w:lang w:val="pt-BR"/>
        </w:rPr>
        <w:t>.</w:t>
      </w:r>
      <w:r w:rsidR="00F90EF3" w:rsidRPr="00D30E3B">
        <w:rPr>
          <w:szCs w:val="24"/>
          <w:lang w:val="pt-BR"/>
        </w:rPr>
        <w:t xml:space="preserve"> </w:t>
      </w:r>
      <w:r w:rsidR="00B523ED" w:rsidRPr="00D30E3B">
        <w:rPr>
          <w:szCs w:val="24"/>
          <w:lang w:val="pt-BR"/>
        </w:rPr>
        <w:t xml:space="preserve">Về công tác cải cách </w:t>
      </w:r>
      <w:r w:rsidR="00B523ED" w:rsidRPr="008B2FE7">
        <w:rPr>
          <w:szCs w:val="24"/>
          <w:lang w:val="pt-BR"/>
        </w:rPr>
        <w:t xml:space="preserve">TTHC, </w:t>
      </w:r>
      <w:r w:rsidR="00B523ED" w:rsidRPr="00482844">
        <w:rPr>
          <w:szCs w:val="24"/>
          <w:lang w:val="pt-BR"/>
        </w:rPr>
        <w:t>kiểm soát TTHC</w:t>
      </w:r>
      <w:r w:rsidR="00B523ED" w:rsidRPr="00392DD7">
        <w:rPr>
          <w:szCs w:val="24"/>
          <w:lang w:val="pt-BR"/>
        </w:rPr>
        <w:t>:</w:t>
      </w:r>
      <w:r w:rsidR="00B523ED" w:rsidRPr="00D30E3B">
        <w:rPr>
          <w:szCs w:val="24"/>
          <w:lang w:val="pt-BR"/>
        </w:rPr>
        <w:t xml:space="preserve"> Thực hiện nghiêm túc các ý kiến chỉ đạo của Chủ tịch UBND tỉnh tại Văn bản số 2809/UBND-NCPC ngày 08/5/2019 về việc </w:t>
      </w:r>
      <w:r w:rsidR="00B523ED" w:rsidRPr="00D30E3B">
        <w:rPr>
          <w:iCs/>
          <w:szCs w:val="26"/>
        </w:rPr>
        <w:t>chấn chỉnh, khắc phục các tồn tại, hạn chế trong giải quyết TTHC cho người dân, doanh nghiệp.</w:t>
      </w:r>
      <w:r w:rsidR="00B523ED" w:rsidRPr="00D30E3B">
        <w:rPr>
          <w:sz w:val="32"/>
          <w:szCs w:val="24"/>
          <w:lang w:val="pt-BR"/>
        </w:rPr>
        <w:t xml:space="preserve"> </w:t>
      </w:r>
    </w:p>
    <w:p w:rsidR="000E64EC" w:rsidRPr="00D30E3B" w:rsidRDefault="00D30E3B" w:rsidP="00737975">
      <w:pPr>
        <w:spacing w:after="120" w:line="252" w:lineRule="auto"/>
        <w:ind w:firstLine="567"/>
        <w:jc w:val="both"/>
      </w:pPr>
      <w:r>
        <w:rPr>
          <w:szCs w:val="24"/>
          <w:lang w:val="pt-BR"/>
        </w:rPr>
        <w:tab/>
      </w:r>
      <w:r w:rsidR="00DB40F9" w:rsidRPr="00B37736">
        <w:t>5</w:t>
      </w:r>
      <w:r w:rsidR="00AC64CA" w:rsidRPr="00B37736">
        <w:t>.</w:t>
      </w:r>
      <w:r w:rsidR="00604371" w:rsidRPr="00D30E3B">
        <w:t xml:space="preserve"> </w:t>
      </w:r>
      <w:r w:rsidR="00662A0F" w:rsidRPr="00D30E3B">
        <w:t>T</w:t>
      </w:r>
      <w:r w:rsidR="000C5DE3" w:rsidRPr="008B2FE7">
        <w:t xml:space="preserve">hực hiện </w:t>
      </w:r>
      <w:r w:rsidR="00640EA9" w:rsidRPr="008B2FE7">
        <w:t xml:space="preserve">việc đổi mới, sắp xếp </w:t>
      </w:r>
      <w:r w:rsidR="00007F7B" w:rsidRPr="008B2FE7">
        <w:t>và kiện toàn tổ chức các cơ quan hành chính và đơn vị sự nghiệp công lập</w:t>
      </w:r>
      <w:r w:rsidR="00922CF2" w:rsidRPr="00482844">
        <w:t xml:space="preserve"> </w:t>
      </w:r>
      <w:r w:rsidR="00007F7B" w:rsidRPr="00392DD7">
        <w:t>theo hướng tinh gọn, hoạt động hiệu lực, hiệu quả; đẩy mạnh phân cấp và gắn kết chặt chẽ với các chính sác</w:t>
      </w:r>
      <w:r w:rsidR="00007F7B" w:rsidRPr="00D30E3B">
        <w:t>h tinh giản biên chế t</w:t>
      </w:r>
      <w:r w:rsidR="004428EE" w:rsidRPr="00D30E3B">
        <w:t>heo</w:t>
      </w:r>
      <w:r w:rsidR="000E64EC" w:rsidRPr="00D30E3B">
        <w:t xml:space="preserve"> tinh thần chỉ đạo tại</w:t>
      </w:r>
      <w:r w:rsidR="004428EE" w:rsidRPr="00D30E3B">
        <w:t xml:space="preserve"> Nghị quyết số 18</w:t>
      </w:r>
      <w:r w:rsidR="00122748" w:rsidRPr="00D30E3B">
        <w:t>-NQ/TW</w:t>
      </w:r>
      <w:r w:rsidR="005751D9" w:rsidRPr="00D30E3B">
        <w:t xml:space="preserve"> ngày 25/10/2018 và Nghị quyế</w:t>
      </w:r>
      <w:r w:rsidR="005C4353" w:rsidRPr="00D30E3B">
        <w:t xml:space="preserve">t số </w:t>
      </w:r>
      <w:r w:rsidR="004428EE" w:rsidRPr="00D30E3B">
        <w:t>19</w:t>
      </w:r>
      <w:r w:rsidR="005C4353" w:rsidRPr="00D30E3B">
        <w:t>-NQ/TW</w:t>
      </w:r>
      <w:r w:rsidR="005751D9" w:rsidRPr="00D30E3B">
        <w:t xml:space="preserve"> ngày 25/10/2018</w:t>
      </w:r>
      <w:r w:rsidR="00922CF2" w:rsidRPr="00D30E3B">
        <w:t xml:space="preserve"> của Hội nghị lần thứ 6 Ban Chấp hành Trung ương Đảng</w:t>
      </w:r>
      <w:r w:rsidR="004428EE" w:rsidRPr="00D30E3B">
        <w:t>,</w:t>
      </w:r>
      <w:r w:rsidR="005C4353" w:rsidRPr="00D30E3B">
        <w:t xml:space="preserve"> Nghị quyết số</w:t>
      </w:r>
      <w:r w:rsidR="004428EE" w:rsidRPr="00D30E3B">
        <w:t xml:space="preserve"> 37</w:t>
      </w:r>
      <w:r w:rsidR="005C4353" w:rsidRPr="00D30E3B">
        <w:t>-</w:t>
      </w:r>
      <w:r w:rsidR="005751D9" w:rsidRPr="00D30E3B">
        <w:t xml:space="preserve">NQ/TW ngày 22/3/2019 của </w:t>
      </w:r>
      <w:r w:rsidR="001212ED" w:rsidRPr="00D30E3B">
        <w:t>Bộ Chính trị</w:t>
      </w:r>
      <w:r w:rsidR="006417DF" w:rsidRPr="00D30E3B">
        <w:t>,</w:t>
      </w:r>
      <w:r w:rsidR="004428EE" w:rsidRPr="00D30E3B">
        <w:t xml:space="preserve"> Nghị quyết </w:t>
      </w:r>
      <w:r w:rsidR="000E64EC" w:rsidRPr="00D30E3B">
        <w:t xml:space="preserve">số </w:t>
      </w:r>
      <w:r w:rsidR="004428EE" w:rsidRPr="00D30E3B">
        <w:t>653</w:t>
      </w:r>
      <w:r w:rsidR="000E64EC" w:rsidRPr="00D30E3B">
        <w:t xml:space="preserve">/2019/NQ-UBTVQH14 ngày </w:t>
      </w:r>
      <w:r w:rsidR="003B1EA8" w:rsidRPr="00D30E3B">
        <w:t>12/3/2019</w:t>
      </w:r>
      <w:r w:rsidR="004428EE" w:rsidRPr="00D30E3B">
        <w:t xml:space="preserve"> của Ủy ban thường vụ Quốc hội</w:t>
      </w:r>
      <w:r w:rsidR="006417DF" w:rsidRPr="00D30E3B">
        <w:t xml:space="preserve">, Nghị quyết </w:t>
      </w:r>
      <w:r w:rsidR="00802903" w:rsidRPr="00D30E3B">
        <w:t xml:space="preserve">số </w:t>
      </w:r>
      <w:r w:rsidR="006417DF" w:rsidRPr="00D30E3B">
        <w:t xml:space="preserve">32/NQ-CP </w:t>
      </w:r>
      <w:r w:rsidR="0018548F" w:rsidRPr="00D30E3B">
        <w:t xml:space="preserve">ngày 14/5/2019 </w:t>
      </w:r>
      <w:r w:rsidR="006417DF" w:rsidRPr="00D30E3B">
        <w:t>của Chính phủ</w:t>
      </w:r>
      <w:r w:rsidR="004428EE" w:rsidRPr="00D30E3B">
        <w:t xml:space="preserve"> </w:t>
      </w:r>
      <w:r w:rsidR="000E64EC" w:rsidRPr="00D30E3B">
        <w:t xml:space="preserve">và các văn bản chỉ đạo, triển khai thực hiện của tỉnh. </w:t>
      </w:r>
    </w:p>
    <w:p w:rsidR="00607245" w:rsidRPr="00D30E3B" w:rsidRDefault="00DB40F9" w:rsidP="00737975">
      <w:pPr>
        <w:spacing w:after="120" w:line="252" w:lineRule="auto"/>
        <w:ind w:firstLine="720"/>
        <w:jc w:val="both"/>
        <w:rPr>
          <w:spacing w:val="-2"/>
          <w:lang w:val="nl-NL"/>
        </w:rPr>
      </w:pPr>
      <w:r w:rsidRPr="00B37736">
        <w:rPr>
          <w:color w:val="000000"/>
        </w:rPr>
        <w:t>6</w:t>
      </w:r>
      <w:r w:rsidR="00AC64CA" w:rsidRPr="00B37736">
        <w:rPr>
          <w:color w:val="000000"/>
        </w:rPr>
        <w:t>.</w:t>
      </w:r>
      <w:r w:rsidR="00BD089D" w:rsidRPr="00D30E3B">
        <w:rPr>
          <w:color w:val="000000"/>
        </w:rPr>
        <w:t xml:space="preserve"> </w:t>
      </w:r>
      <w:r w:rsidR="00662A0F" w:rsidRPr="00D30E3B">
        <w:t>H</w:t>
      </w:r>
      <w:r w:rsidR="00BD2D37" w:rsidRPr="008B2FE7">
        <w:t>oàn chỉnh các nội dung về vị trí việc làm trong các đơn vị, địa phương làm cơ sở rà soát</w:t>
      </w:r>
      <w:r w:rsidR="00E67F1F" w:rsidRPr="00482844">
        <w:t>,</w:t>
      </w:r>
      <w:r w:rsidR="00BD2D37" w:rsidRPr="00392DD7">
        <w:t xml:space="preserve"> </w:t>
      </w:r>
      <w:r w:rsidR="005D1767" w:rsidRPr="00D30E3B">
        <w:t xml:space="preserve">sắp xếp lại đội ngũ </w:t>
      </w:r>
      <w:r w:rsidR="0018548F" w:rsidRPr="00D30E3B">
        <w:t>CBCCVC</w:t>
      </w:r>
      <w:r w:rsidR="005D1767" w:rsidRPr="00D30E3B">
        <w:t xml:space="preserve"> các cấp, các ngành theo vị trí việc làm, khung năng lực, bảo đảm đúng người, đúng việc, giảm số lượng, nâng cao chất lượng, hợp lý về cơ cấu, </w:t>
      </w:r>
      <w:r w:rsidR="00BD2D37" w:rsidRPr="00D30E3B">
        <w:t xml:space="preserve">nhất là bố trí lại những trường hợp không phù hợp với khung năng lực hoặc hiệu quả thấp, có phương án điều chuyển </w:t>
      </w:r>
      <w:r w:rsidR="0018548F" w:rsidRPr="00D30E3B">
        <w:lastRenderedPageBreak/>
        <w:t>CBCCVC</w:t>
      </w:r>
      <w:r w:rsidR="00BD2D37" w:rsidRPr="00D30E3B">
        <w:t xml:space="preserve"> </w:t>
      </w:r>
      <w:r w:rsidR="00607245" w:rsidRPr="00D30E3B">
        <w:t xml:space="preserve">giữa </w:t>
      </w:r>
      <w:r w:rsidR="00E67F1F" w:rsidRPr="00D30E3B">
        <w:t>cấp tỉnh,</w:t>
      </w:r>
      <w:r w:rsidR="002737D2" w:rsidRPr="00D30E3B">
        <w:t xml:space="preserve"> </w:t>
      </w:r>
      <w:r w:rsidR="00E67F1F" w:rsidRPr="00D30E3B">
        <w:t xml:space="preserve">huyện và </w:t>
      </w:r>
      <w:r w:rsidR="00D4297E" w:rsidRPr="00D30E3B">
        <w:t>xã.</w:t>
      </w:r>
      <w:r w:rsidR="00BD2D37" w:rsidRPr="00D30E3B">
        <w:rPr>
          <w:szCs w:val="24"/>
          <w:lang w:val="nl-NL"/>
        </w:rPr>
        <w:t xml:space="preserve"> </w:t>
      </w:r>
      <w:r w:rsidR="00BD2D37" w:rsidRPr="00D30E3B">
        <w:t xml:space="preserve">Đổi mới, nâng cao chất lượng công tác quản lý </w:t>
      </w:r>
      <w:r w:rsidR="0018548F" w:rsidRPr="00D30E3B">
        <w:t>CBCCVC</w:t>
      </w:r>
      <w:r w:rsidR="00BD2D37" w:rsidRPr="00D30E3B">
        <w:rPr>
          <w:spacing w:val="-4"/>
        </w:rPr>
        <w:t xml:space="preserve"> từ tuyển dụng, sử dụng, đánh giá, đào tạo, luân chuyển, bổ nhiệm</w:t>
      </w:r>
      <w:r w:rsidR="00607245" w:rsidRPr="00D30E3B">
        <w:rPr>
          <w:spacing w:val="-4"/>
        </w:rPr>
        <w:t>;</w:t>
      </w:r>
      <w:r w:rsidR="00BD2D37" w:rsidRPr="00D30E3B">
        <w:rPr>
          <w:spacing w:val="-4"/>
        </w:rPr>
        <w:t xml:space="preserve"> chú</w:t>
      </w:r>
      <w:r w:rsidR="000D205D" w:rsidRPr="00D30E3B">
        <w:rPr>
          <w:spacing w:val="-4"/>
        </w:rPr>
        <w:t xml:space="preserve"> trọng rà soát lại các đơn vị</w:t>
      </w:r>
      <w:r w:rsidR="00BD2D37" w:rsidRPr="00D30E3B">
        <w:rPr>
          <w:spacing w:val="-4"/>
        </w:rPr>
        <w:t xml:space="preserve"> hợp đồng</w:t>
      </w:r>
      <w:r w:rsidR="000D205D" w:rsidRPr="00D30E3B">
        <w:rPr>
          <w:spacing w:val="-4"/>
        </w:rPr>
        <w:t xml:space="preserve"> người làm việc</w:t>
      </w:r>
      <w:r w:rsidR="00BD2D37" w:rsidRPr="00D30E3B">
        <w:rPr>
          <w:spacing w:val="-4"/>
        </w:rPr>
        <w:t xml:space="preserve"> trái quy định và có phương án xử lý</w:t>
      </w:r>
      <w:r w:rsidR="00BD2D37" w:rsidRPr="00D30E3B">
        <w:rPr>
          <w:szCs w:val="24"/>
          <w:lang w:val="nl-NL"/>
        </w:rPr>
        <w:t xml:space="preserve">. </w:t>
      </w:r>
      <w:r w:rsidR="000B74E4" w:rsidRPr="00D30E3B">
        <w:rPr>
          <w:color w:val="000000"/>
          <w:shd w:val="clear" w:color="auto" w:fill="FFFFFF"/>
        </w:rPr>
        <w:t>Thực hiện đ</w:t>
      </w:r>
      <w:r w:rsidR="000B74E4" w:rsidRPr="00D30E3B">
        <w:rPr>
          <w:color w:val="000000"/>
          <w:shd w:val="clear" w:color="auto" w:fill="FFFFFF"/>
          <w:lang w:val="vi-VN"/>
        </w:rPr>
        <w:t>ổi mới côn</w:t>
      </w:r>
      <w:r w:rsidR="000837DC" w:rsidRPr="00D30E3B">
        <w:rPr>
          <w:color w:val="000000"/>
          <w:shd w:val="clear" w:color="auto" w:fill="FFFFFF"/>
          <w:lang w:val="vi-VN"/>
        </w:rPr>
        <w:t xml:space="preserve">g tác đánh giá </w:t>
      </w:r>
      <w:r w:rsidR="000837DC" w:rsidRPr="00D30E3B">
        <w:rPr>
          <w:color w:val="000000"/>
          <w:shd w:val="clear" w:color="auto" w:fill="FFFFFF"/>
        </w:rPr>
        <w:t>CBCCVC</w:t>
      </w:r>
      <w:r w:rsidR="000B74E4" w:rsidRPr="00D30E3B">
        <w:rPr>
          <w:color w:val="000000"/>
          <w:shd w:val="clear" w:color="auto" w:fill="FFFFFF"/>
        </w:rPr>
        <w:t>; v</w:t>
      </w:r>
      <w:r w:rsidR="000B74E4" w:rsidRPr="00D30E3B">
        <w:rPr>
          <w:color w:val="000000"/>
          <w:shd w:val="clear" w:color="auto" w:fill="FFFFFF"/>
          <w:lang w:val="vi-VN"/>
        </w:rPr>
        <w:t>iệc đánh g</w:t>
      </w:r>
      <w:r w:rsidR="000B74E4" w:rsidRPr="00D30E3B">
        <w:rPr>
          <w:color w:val="000000"/>
          <w:shd w:val="clear" w:color="auto" w:fill="FFFFFF"/>
        </w:rPr>
        <w:t>i</w:t>
      </w:r>
      <w:r w:rsidR="000B74E4" w:rsidRPr="00D30E3B">
        <w:rPr>
          <w:color w:val="000000"/>
          <w:shd w:val="clear" w:color="auto" w:fill="FFFFFF"/>
          <w:lang w:val="vi-VN"/>
        </w:rPr>
        <w:t>á phải căn cứ vào kết quả, hiệu qu</w:t>
      </w:r>
      <w:r w:rsidR="000837DC" w:rsidRPr="00D30E3B">
        <w:rPr>
          <w:color w:val="000000"/>
          <w:shd w:val="clear" w:color="auto" w:fill="FFFFFF"/>
          <w:lang w:val="vi-VN"/>
        </w:rPr>
        <w:t xml:space="preserve">ả công tác của </w:t>
      </w:r>
      <w:r w:rsidR="000837DC" w:rsidRPr="00D30E3B">
        <w:rPr>
          <w:color w:val="000000"/>
          <w:shd w:val="clear" w:color="auto" w:fill="FFFFFF"/>
        </w:rPr>
        <w:t>CBCCVC</w:t>
      </w:r>
      <w:r w:rsidR="000B74E4" w:rsidRPr="00D30E3B">
        <w:rPr>
          <w:color w:val="000000"/>
          <w:shd w:val="clear" w:color="auto" w:fill="FFFFFF"/>
        </w:rPr>
        <w:t xml:space="preserve"> gắn với</w:t>
      </w:r>
      <w:r w:rsidR="008D0A55" w:rsidRPr="00D30E3B">
        <w:rPr>
          <w:color w:val="000000"/>
          <w:shd w:val="clear" w:color="auto" w:fill="FFFFFF"/>
        </w:rPr>
        <w:t xml:space="preserve"> chuyển đổi vị trí công tác</w:t>
      </w:r>
      <w:r w:rsidR="00C7443C" w:rsidRPr="00D30E3B">
        <w:rPr>
          <w:spacing w:val="-2"/>
          <w:lang w:val="nl-NL"/>
        </w:rPr>
        <w:t xml:space="preserve">. </w:t>
      </w:r>
    </w:p>
    <w:p w:rsidR="00CF11FA" w:rsidRPr="00D30E3B" w:rsidRDefault="00DB40F9" w:rsidP="00737975">
      <w:pPr>
        <w:spacing w:after="120" w:line="252" w:lineRule="auto"/>
        <w:ind w:firstLine="720"/>
        <w:jc w:val="both"/>
        <w:rPr>
          <w:color w:val="000000"/>
          <w:lang w:val="nl-NL"/>
        </w:rPr>
      </w:pPr>
      <w:r w:rsidRPr="00B37736">
        <w:rPr>
          <w:szCs w:val="24"/>
        </w:rPr>
        <w:t>7</w:t>
      </w:r>
      <w:r w:rsidR="00AC64CA" w:rsidRPr="00B37736">
        <w:rPr>
          <w:szCs w:val="24"/>
        </w:rPr>
        <w:t>.</w:t>
      </w:r>
      <w:r w:rsidR="0059477B" w:rsidRPr="00D30E3B">
        <w:rPr>
          <w:szCs w:val="24"/>
        </w:rPr>
        <w:t xml:space="preserve"> </w:t>
      </w:r>
      <w:r w:rsidR="00662A0F" w:rsidRPr="00D30E3B">
        <w:rPr>
          <w:szCs w:val="24"/>
        </w:rPr>
        <w:t>T</w:t>
      </w:r>
      <w:r w:rsidR="00D93E6D" w:rsidRPr="008B2FE7">
        <w:rPr>
          <w:szCs w:val="24"/>
        </w:rPr>
        <w:t>riển khai có hiệu quả các nhiệm vụ về xây dựng</w:t>
      </w:r>
      <w:r w:rsidR="00CF11FA" w:rsidRPr="008B2FE7">
        <w:rPr>
          <w:szCs w:val="24"/>
        </w:rPr>
        <w:t xml:space="preserve"> Chính quyền </w:t>
      </w:r>
      <w:r w:rsidR="00D93E6D" w:rsidRPr="00D30E3B">
        <w:rPr>
          <w:szCs w:val="24"/>
        </w:rPr>
        <w:t>điện tử</w:t>
      </w:r>
      <w:r w:rsidR="00356C1B" w:rsidRPr="00D30E3B">
        <w:rPr>
          <w:szCs w:val="24"/>
        </w:rPr>
        <w:t xml:space="preserve">. Xây dựng phần mềm cơ sở dữ </w:t>
      </w:r>
      <w:r w:rsidR="00D93E6D" w:rsidRPr="00D30E3B">
        <w:rPr>
          <w:szCs w:val="24"/>
        </w:rPr>
        <w:t xml:space="preserve">liệu dùng chung </w:t>
      </w:r>
      <w:r w:rsidR="00356C1B" w:rsidRPr="00D30E3B">
        <w:rPr>
          <w:szCs w:val="24"/>
        </w:rPr>
        <w:t xml:space="preserve">đảm bảo quản lý thống nhất, đồng bộ và kết nối thông suốt </w:t>
      </w:r>
      <w:r w:rsidR="007B6731" w:rsidRPr="00D30E3B">
        <w:rPr>
          <w:szCs w:val="24"/>
        </w:rPr>
        <w:t xml:space="preserve">từ tỉnh đến huyện, xã. </w:t>
      </w:r>
      <w:r w:rsidR="001274F0" w:rsidRPr="00D30E3B">
        <w:rPr>
          <w:color w:val="000000"/>
          <w:lang w:val="nl-NL"/>
        </w:rPr>
        <w:t>Đẩy mạnh ứng dụng công nghệ thông tin trong hoạt động của cơ quan, đơn vị;</w:t>
      </w:r>
      <w:r w:rsidR="00002459" w:rsidRPr="00D30E3B">
        <w:rPr>
          <w:szCs w:val="24"/>
        </w:rPr>
        <w:t xml:space="preserve"> nâng cấp và hoàn thiện hạ tầng công nghệ thông tin trong các lĩnh vực, trong từng đơn vị, địa phương. Đặc biệt là việc ứng dụng và nâng cấp các phần mềm trong hoạt động chỉ đạo, điều hành </w:t>
      </w:r>
      <w:r w:rsidR="00002459" w:rsidRPr="00D30E3B">
        <w:rPr>
          <w:spacing w:val="-2"/>
          <w:lang w:val="nb-NO"/>
        </w:rPr>
        <w:t xml:space="preserve">đảm bảo kết nối liên thông, đồng bộ giữa các hệ thống, </w:t>
      </w:r>
      <w:r w:rsidR="00421A39" w:rsidRPr="00D30E3B">
        <w:rPr>
          <w:spacing w:val="-2"/>
          <w:lang w:val="nb-NO"/>
        </w:rPr>
        <w:t>thúc đẩy ứng dụng có hiệu quả, thiết thực các dịch vụ công trực tuyến mức độ 3</w:t>
      </w:r>
      <w:r w:rsidR="00CF11FA" w:rsidRPr="00D30E3B">
        <w:rPr>
          <w:spacing w:val="-2"/>
          <w:lang w:val="nb-NO"/>
        </w:rPr>
        <w:t>,</w:t>
      </w:r>
      <w:r w:rsidR="00421A39" w:rsidRPr="00D30E3B">
        <w:rPr>
          <w:spacing w:val="-2"/>
          <w:lang w:val="nb-NO"/>
        </w:rPr>
        <w:t xml:space="preserve"> mức độ 4</w:t>
      </w:r>
      <w:r w:rsidR="00342F46" w:rsidRPr="00D30E3B">
        <w:rPr>
          <w:spacing w:val="-2"/>
          <w:lang w:val="nb-NO"/>
        </w:rPr>
        <w:t xml:space="preserve">. </w:t>
      </w:r>
      <w:r w:rsidR="00BB3E65" w:rsidRPr="00D30E3B">
        <w:rPr>
          <w:szCs w:val="24"/>
        </w:rPr>
        <w:t xml:space="preserve">Thực hiện có hiệu quả việc xử lý hồ sơ công việc trên môi trường điện tử và gửi nhận văn bản điện tử trong nội bộ các cơ quan hành chính nhà nước, nội bộ của từng đơn vị, địa phương. </w:t>
      </w:r>
      <w:r w:rsidR="00342F46" w:rsidRPr="00D30E3B">
        <w:rPr>
          <w:color w:val="000000"/>
          <w:lang w:val="nl-NL"/>
        </w:rPr>
        <w:t>Thực hiện tốt việc tiếp nhận hồ sơ và trả kết quả giải quyết TTHC qua dịch vụ bưu chính công ích</w:t>
      </w:r>
      <w:r w:rsidR="00CF11FA" w:rsidRPr="00D30E3B">
        <w:rPr>
          <w:color w:val="000000"/>
          <w:lang w:val="nl-NL"/>
        </w:rPr>
        <w:t>.</w:t>
      </w:r>
    </w:p>
    <w:p w:rsidR="00097748" w:rsidRPr="00D30E3B" w:rsidRDefault="00564801" w:rsidP="00737975">
      <w:pPr>
        <w:spacing w:after="120" w:line="252" w:lineRule="auto"/>
        <w:ind w:firstLine="720"/>
        <w:jc w:val="both"/>
        <w:rPr>
          <w:color w:val="000000"/>
          <w:lang w:val="pt-BR"/>
        </w:rPr>
      </w:pPr>
      <w:r w:rsidRPr="00D30E3B">
        <w:rPr>
          <w:lang w:val="nl-NL"/>
        </w:rPr>
        <w:t>Tiếp tục t</w:t>
      </w:r>
      <w:r w:rsidR="00CF11FA" w:rsidRPr="00D30E3B">
        <w:rPr>
          <w:lang w:val="nl-NL"/>
        </w:rPr>
        <w:t xml:space="preserve">hực hiện có hiệu quả </w:t>
      </w:r>
      <w:r w:rsidR="00CF11FA" w:rsidRPr="00D30E3B">
        <w:t xml:space="preserve">Kế hoạch số 121/KH-UBND ngày 10/4/2018 của UBND tỉnh về việc chuyển đổi, xây dựng mới và áp dụng </w:t>
      </w:r>
      <w:r w:rsidR="00CF11FA" w:rsidRPr="00D30E3B">
        <w:rPr>
          <w:lang w:val="pt-PT"/>
        </w:rPr>
        <w:t>Hệ thống quản lý chất lượng</w:t>
      </w:r>
      <w:r w:rsidR="00CF11FA" w:rsidRPr="00D30E3B">
        <w:t xml:space="preserve"> theo tiêu chuẩn quốc gia TCVN ISO 9001:2015 vào hoạt động của các cơ quan thuộc hệ thống hành chính nhà nước tỉnh Hà Tĩnh giai đoạn 2018-2021. </w:t>
      </w:r>
      <w:r w:rsidRPr="00D30E3B">
        <w:rPr>
          <w:color w:val="000000"/>
          <w:lang w:val="nl-NL"/>
        </w:rPr>
        <w:t>D</w:t>
      </w:r>
      <w:r w:rsidR="00342F46" w:rsidRPr="00D30E3B">
        <w:rPr>
          <w:color w:val="000000"/>
          <w:lang w:val="nl-NL"/>
        </w:rPr>
        <w:t>uy trì và nâng cao hiệu quả của việc áp dụng </w:t>
      </w:r>
      <w:r w:rsidR="00342F46" w:rsidRPr="00D30E3B">
        <w:rPr>
          <w:color w:val="000000"/>
          <w:lang w:val="pt-PT"/>
        </w:rPr>
        <w:t xml:space="preserve">hệ thống quản lý chất lượng theo tiêu chuẩn chất </w:t>
      </w:r>
      <w:r w:rsidR="00342F46" w:rsidRPr="00D30E3B">
        <w:rPr>
          <w:lang w:val="pt-PT"/>
        </w:rPr>
        <w:t>lư</w:t>
      </w:r>
      <w:r w:rsidR="00342F46" w:rsidRPr="00D46E33">
        <w:rPr>
          <w:lang w:val="pt-PT"/>
        </w:rPr>
        <w:t>ợng</w:t>
      </w:r>
      <w:hyperlink r:id="rId8" w:tgtFrame="_blank" w:tooltip="Tiêu chuẩn Việt Nam TCVNISO9001:2008" w:history="1">
        <w:r w:rsidR="00342F46" w:rsidRPr="00050048">
          <w:rPr>
            <w:rStyle w:val="Hyperlink"/>
            <w:color w:val="auto"/>
            <w:u w:val="none"/>
            <w:lang w:val="pt-PT"/>
          </w:rPr>
          <w:t> TCVN ISO 9001:2008</w:t>
        </w:r>
      </w:hyperlink>
      <w:r w:rsidR="000D205D" w:rsidRPr="00050048">
        <w:rPr>
          <w:lang w:val="pt-PT"/>
        </w:rPr>
        <w:t>,</w:t>
      </w:r>
      <w:r w:rsidR="00342F46" w:rsidRPr="008B2FE7">
        <w:rPr>
          <w:lang w:val="pt-PT"/>
        </w:rPr>
        <w:t xml:space="preserve"> 9001</w:t>
      </w:r>
      <w:r w:rsidR="00342F46" w:rsidRPr="00D30E3B">
        <w:rPr>
          <w:lang w:val="pt-PT"/>
        </w:rPr>
        <w:t>:2015</w:t>
      </w:r>
      <w:r w:rsidR="00342F46" w:rsidRPr="008B2FE7">
        <w:rPr>
          <w:lang w:val="pt-PT"/>
        </w:rPr>
        <w:t> </w:t>
      </w:r>
      <w:r w:rsidR="00342F46" w:rsidRPr="008B2FE7">
        <w:rPr>
          <w:lang w:val="vi-VN"/>
        </w:rPr>
        <w:t>trong</w:t>
      </w:r>
      <w:r w:rsidR="00342F46" w:rsidRPr="008B2FE7">
        <w:rPr>
          <w:color w:val="000000"/>
          <w:lang w:val="vi-VN"/>
        </w:rPr>
        <w:t xml:space="preserve"> hoạt động của các cơ quan</w:t>
      </w:r>
      <w:r w:rsidR="00342F46" w:rsidRPr="00482844">
        <w:rPr>
          <w:color w:val="000000"/>
          <w:lang w:val="pt-BR"/>
        </w:rPr>
        <w:t>, đơn vị</w:t>
      </w:r>
      <w:r w:rsidRPr="00D30E3B">
        <w:rPr>
          <w:color w:val="000000"/>
          <w:lang w:val="pt-BR"/>
        </w:rPr>
        <w:t>, địa phương</w:t>
      </w:r>
      <w:r w:rsidR="00AA0E84" w:rsidRPr="00D30E3B">
        <w:rPr>
          <w:color w:val="000000"/>
          <w:lang w:val="pt-BR"/>
        </w:rPr>
        <w:t>.</w:t>
      </w:r>
    </w:p>
    <w:p w:rsidR="00E154B9" w:rsidRPr="00D30E3B" w:rsidRDefault="00DB40F9" w:rsidP="00737975">
      <w:pPr>
        <w:spacing w:after="120" w:line="252" w:lineRule="auto"/>
        <w:ind w:firstLine="720"/>
        <w:jc w:val="both"/>
      </w:pPr>
      <w:r w:rsidRPr="00B37736">
        <w:t>8</w:t>
      </w:r>
      <w:r w:rsidR="00E154B9" w:rsidRPr="00D30E3B">
        <w:t>. Công khai, minh bạch cơ chế, chính sách, hoạt động của cơ quan, đơn vị, địa phương nhất là trong công tác quy hoạch, kế hoạch sử dụng đất ở địa phương; UBND cấp huyện chỉ đạo UBND cấp xã thực hiện công khai thu, chi ngân sách cấp xã theo</w:t>
      </w:r>
      <w:r w:rsidR="00E154B9" w:rsidRPr="008B2FE7">
        <w:t xml:space="preserve"> </w:t>
      </w:r>
      <w:r w:rsidR="00564801" w:rsidRPr="008B2FE7">
        <w:t xml:space="preserve">quy định tại </w:t>
      </w:r>
      <w:r w:rsidR="00E154B9" w:rsidRPr="008B2FE7">
        <w:t xml:space="preserve">Thông tư </w:t>
      </w:r>
      <w:r w:rsidR="00CF11FA" w:rsidRPr="00482844">
        <w:t xml:space="preserve">số </w:t>
      </w:r>
      <w:r w:rsidR="00E154B9" w:rsidRPr="00D30E3B">
        <w:t xml:space="preserve">343/2016/TT-BTC ngày 31/12/2016 và Thông tư </w:t>
      </w:r>
      <w:r w:rsidR="00CF11FA" w:rsidRPr="00D30E3B">
        <w:t xml:space="preserve">số </w:t>
      </w:r>
      <w:r w:rsidR="00E154B9" w:rsidRPr="00D30E3B">
        <w:t>61/2017/TT-BTC ngày 15/6/2017</w:t>
      </w:r>
      <w:r w:rsidR="00564801" w:rsidRPr="00D30E3B">
        <w:t xml:space="preserve"> của Bộ Tài chính.</w:t>
      </w:r>
      <w:r w:rsidR="00E154B9" w:rsidRPr="00D30E3B">
        <w:t xml:space="preserve"> Kiểm soát chặt chẽ và có giải pháp phòng ngừa hành vi tham nhũng, nhất là trong các lĩnh vực như chi tiêu ngân sách, cấp giấy chứng nhận quyền sử dụng đất, cấp phép xây dựng, đăng ký kinh doanh...</w:t>
      </w:r>
    </w:p>
    <w:p w:rsidR="00E154B9" w:rsidRPr="00D30E3B" w:rsidRDefault="00DB40F9" w:rsidP="00737975">
      <w:pPr>
        <w:spacing w:after="120" w:line="252" w:lineRule="auto"/>
        <w:ind w:firstLine="720"/>
        <w:jc w:val="both"/>
        <w:rPr>
          <w:color w:val="000000"/>
          <w:lang w:val="pt-BR"/>
        </w:rPr>
      </w:pPr>
      <w:r w:rsidRPr="00B37736">
        <w:t>9</w:t>
      </w:r>
      <w:r w:rsidR="007A512D" w:rsidRPr="00D30E3B">
        <w:t xml:space="preserve">. Tập trung chỉ đạo giải quyết dứt điểm </w:t>
      </w:r>
      <w:r w:rsidR="00CF11FA" w:rsidRPr="008B2FE7">
        <w:t xml:space="preserve">các phản ánh, </w:t>
      </w:r>
      <w:r w:rsidR="007A512D" w:rsidRPr="008B2FE7">
        <w:t xml:space="preserve">kiến nghị, khiếu nại, tố cáo của người dân ngay từ cơ sở, làm rõ trách nhiệm, thẩm quyền, chất lượng trong giải quyết đơn thư khiếu nại, tố cáo; chính quyền địa phương các cấp </w:t>
      </w:r>
      <w:r w:rsidR="007A512D" w:rsidRPr="00D30E3B">
        <w:t>thực hiện nghiêm quy định tiếp dân hàng tuần, hàng tháng; đồng thời có trách nhiệm giải trình, trả lời người dân trước những vấn đề khúc mắc của địa phương theo thẩm quyền. Tăng cường công tác đảm bảo an ninh trật tự, an toàn địa bàn các khu dân cư</w:t>
      </w:r>
      <w:r w:rsidR="00CF11FA" w:rsidRPr="00D30E3B">
        <w:t>.</w:t>
      </w:r>
    </w:p>
    <w:p w:rsidR="00F2704F" w:rsidRPr="00D30E3B" w:rsidRDefault="00DB40F9" w:rsidP="00737975">
      <w:pPr>
        <w:spacing w:after="120" w:line="252" w:lineRule="auto"/>
        <w:ind w:firstLine="720"/>
        <w:jc w:val="both"/>
        <w:rPr>
          <w:color w:val="000000"/>
        </w:rPr>
      </w:pPr>
      <w:r w:rsidRPr="00B37736">
        <w:rPr>
          <w:color w:val="000000"/>
        </w:rPr>
        <w:lastRenderedPageBreak/>
        <w:t>10</w:t>
      </w:r>
      <w:r w:rsidR="00AC64CA" w:rsidRPr="00B37736">
        <w:rPr>
          <w:color w:val="000000"/>
        </w:rPr>
        <w:t>.</w:t>
      </w:r>
      <w:r w:rsidR="002D2049" w:rsidRPr="00D30E3B">
        <w:rPr>
          <w:color w:val="000000"/>
        </w:rPr>
        <w:t xml:space="preserve"> Tham mưu, đề xuất các sáng kiến, giải pháp mới để triển khai thực hiện có hiệu quả công tác CCHC; kịp thời khen thưởng đối với các tập thể, cá nhân thực hiện tốt; phê bình những tập thể, cá nhân t</w:t>
      </w:r>
      <w:r w:rsidR="002D2049" w:rsidRPr="008B2FE7">
        <w:rPr>
          <w:color w:val="000000"/>
        </w:rPr>
        <w:t>hực hiện chưa tốt hoặc có sai phạm trong thực hiện nhiệm vụ CCHC</w:t>
      </w:r>
      <w:r w:rsidR="002D2049" w:rsidRPr="00482844">
        <w:rPr>
          <w:color w:val="000000"/>
        </w:rPr>
        <w:t>.</w:t>
      </w:r>
    </w:p>
    <w:p w:rsidR="005F5F54" w:rsidRPr="00D30E3B" w:rsidRDefault="00DB40F9" w:rsidP="00737975">
      <w:pPr>
        <w:spacing w:after="120" w:line="252" w:lineRule="auto"/>
        <w:ind w:firstLine="720"/>
        <w:jc w:val="both"/>
        <w:rPr>
          <w:color w:val="000000"/>
          <w:lang w:val="pt-BR"/>
        </w:rPr>
      </w:pPr>
      <w:r w:rsidRPr="00B37736">
        <w:rPr>
          <w:color w:val="000000"/>
        </w:rPr>
        <w:t>11</w:t>
      </w:r>
      <w:r w:rsidR="005F5F54" w:rsidRPr="00B37736">
        <w:rPr>
          <w:color w:val="000000"/>
        </w:rPr>
        <w:t>.</w:t>
      </w:r>
      <w:r w:rsidR="005F5F54" w:rsidRPr="00D30E3B">
        <w:rPr>
          <w:color w:val="000000"/>
        </w:rPr>
        <w:t xml:space="preserve"> Đẩy mạnh công tác tuyên truyền, phổ biến, quán triệt các chủ trương, chính sách của Đảng, pháp luật của Nhà nước, văn bản chỉ</w:t>
      </w:r>
      <w:r w:rsidR="00962D69" w:rsidRPr="008B2FE7">
        <w:rPr>
          <w:color w:val="000000"/>
        </w:rPr>
        <w:t xml:space="preserve"> đạo của tỉnh về công tác CCHC sâu rộng trong </w:t>
      </w:r>
      <w:r w:rsidR="00564801" w:rsidRPr="00D30E3B">
        <w:rPr>
          <w:color w:val="000000"/>
        </w:rPr>
        <w:t xml:space="preserve">Nhân </w:t>
      </w:r>
      <w:r w:rsidR="00962D69" w:rsidRPr="00D30E3B">
        <w:rPr>
          <w:color w:val="000000"/>
        </w:rPr>
        <w:t xml:space="preserve">dân để </w:t>
      </w:r>
      <w:r w:rsidR="00564801" w:rsidRPr="00D30E3B">
        <w:rPr>
          <w:color w:val="000000"/>
        </w:rPr>
        <w:t xml:space="preserve">Nhân </w:t>
      </w:r>
      <w:r w:rsidR="00962D69" w:rsidRPr="00D30E3B">
        <w:rPr>
          <w:color w:val="000000"/>
        </w:rPr>
        <w:t>dân nắm bắt đầy đủ, kịp thời</w:t>
      </w:r>
      <w:r w:rsidR="00564801" w:rsidRPr="00D30E3B">
        <w:rPr>
          <w:color w:val="000000"/>
        </w:rPr>
        <w:t>,</w:t>
      </w:r>
      <w:r w:rsidR="00962D69" w:rsidRPr="00D30E3B">
        <w:rPr>
          <w:color w:val="000000"/>
        </w:rPr>
        <w:t xml:space="preserve"> tạo sự đồng thuận, thống nhất cao trong </w:t>
      </w:r>
      <w:r w:rsidR="002E6D67" w:rsidRPr="00D30E3B">
        <w:rPr>
          <w:color w:val="000000"/>
        </w:rPr>
        <w:t>tổ chức</w:t>
      </w:r>
      <w:r w:rsidR="00962D69" w:rsidRPr="00D30E3B">
        <w:rPr>
          <w:color w:val="000000"/>
        </w:rPr>
        <w:t xml:space="preserve"> thực hiện; đa dạ</w:t>
      </w:r>
      <w:r w:rsidR="005F5F54" w:rsidRPr="00D30E3B">
        <w:rPr>
          <w:color w:val="000000"/>
          <w:lang w:val="nl-NL"/>
        </w:rPr>
        <w:t>ng</w:t>
      </w:r>
      <w:r w:rsidR="00962D69" w:rsidRPr="00D30E3B">
        <w:rPr>
          <w:color w:val="000000"/>
          <w:lang w:val="nl-NL"/>
        </w:rPr>
        <w:t xml:space="preserve"> hóa các hình thức, nội dung tuyên truyền </w:t>
      </w:r>
      <w:r w:rsidR="005F5F54" w:rsidRPr="00D30E3B">
        <w:rPr>
          <w:color w:val="000000"/>
          <w:lang w:val="vi-VN"/>
        </w:rPr>
        <w:t>đảm bảo tính thời sự, chính xác và phù hợp với từng đối tượng, </w:t>
      </w:r>
      <w:r w:rsidR="005F5F54" w:rsidRPr="00D30E3B">
        <w:rPr>
          <w:color w:val="000000"/>
        </w:rPr>
        <w:t>địa bàn</w:t>
      </w:r>
      <w:r w:rsidR="005F5F54" w:rsidRPr="00D30E3B">
        <w:rPr>
          <w:color w:val="000000"/>
          <w:lang w:val="nl-NL"/>
        </w:rPr>
        <w:t>.</w:t>
      </w:r>
    </w:p>
    <w:p w:rsidR="005F5F54" w:rsidRDefault="00DB40F9" w:rsidP="00737975">
      <w:pPr>
        <w:spacing w:after="120" w:line="252" w:lineRule="auto"/>
        <w:ind w:firstLine="720"/>
        <w:jc w:val="both"/>
        <w:rPr>
          <w:color w:val="000000"/>
          <w:lang w:val="nl-NL"/>
        </w:rPr>
      </w:pPr>
      <w:r w:rsidRPr="00B37736">
        <w:rPr>
          <w:color w:val="000000"/>
          <w:lang w:val="nl-NL"/>
        </w:rPr>
        <w:t>12</w:t>
      </w:r>
      <w:r w:rsidR="00F2704F" w:rsidRPr="00B37736">
        <w:rPr>
          <w:color w:val="000000"/>
          <w:lang w:val="nl-NL"/>
        </w:rPr>
        <w:t>.</w:t>
      </w:r>
      <w:r w:rsidR="009C0B2F" w:rsidRPr="00D30E3B">
        <w:rPr>
          <w:color w:val="000000"/>
          <w:lang w:val="nl-NL"/>
        </w:rPr>
        <w:t xml:space="preserve"> </w:t>
      </w:r>
      <w:r w:rsidR="00F2704F" w:rsidRPr="00D30E3B">
        <w:rPr>
          <w:color w:val="000000"/>
          <w:lang w:val="nl-NL"/>
        </w:rPr>
        <w:t>Tăng cường công tác thanh tra, kiểm tra việc thực hiện nhiệm vụ CCHC với nội dung trọng tâm là</w:t>
      </w:r>
      <w:r w:rsidR="001858EF" w:rsidRPr="008B2FE7">
        <w:rPr>
          <w:color w:val="000000"/>
          <w:lang w:val="nl-NL"/>
        </w:rPr>
        <w:t>:</w:t>
      </w:r>
      <w:r w:rsidR="00F2704F" w:rsidRPr="008B2FE7">
        <w:rPr>
          <w:color w:val="000000"/>
          <w:lang w:val="nl-NL"/>
        </w:rPr>
        <w:t xml:space="preserve"> </w:t>
      </w:r>
      <w:r w:rsidR="002E6D67" w:rsidRPr="008B2FE7">
        <w:rPr>
          <w:color w:val="000000"/>
          <w:lang w:val="nl-NL"/>
        </w:rPr>
        <w:t xml:space="preserve">Trách nhiệm thực thi công vụ, nhiệm vụ của CBCC, </w:t>
      </w:r>
      <w:r w:rsidR="00F2704F" w:rsidRPr="00482844">
        <w:rPr>
          <w:color w:val="000000"/>
          <w:lang w:val="nl-NL"/>
        </w:rPr>
        <w:t>công tác tuyển dụng, bổ nhiệm và sử dụ</w:t>
      </w:r>
      <w:r w:rsidR="001858EF" w:rsidRPr="00D30E3B">
        <w:rPr>
          <w:color w:val="000000"/>
          <w:lang w:val="nl-NL"/>
        </w:rPr>
        <w:t xml:space="preserve">ng </w:t>
      </w:r>
      <w:r w:rsidR="00CF11FA" w:rsidRPr="00D30E3B">
        <w:rPr>
          <w:color w:val="000000"/>
          <w:lang w:val="nl-NL"/>
        </w:rPr>
        <w:t>CBCCVC</w:t>
      </w:r>
      <w:r w:rsidR="001858EF" w:rsidRPr="00D30E3B">
        <w:rPr>
          <w:color w:val="000000"/>
          <w:lang w:val="nl-NL"/>
        </w:rPr>
        <w:t>;</w:t>
      </w:r>
      <w:r w:rsidR="00F2704F" w:rsidRPr="00D30E3B">
        <w:rPr>
          <w:color w:val="000000"/>
          <w:lang w:val="nl-NL"/>
        </w:rPr>
        <w:t xml:space="preserve"> tình hình chấp hà</w:t>
      </w:r>
      <w:r w:rsidR="001858EF" w:rsidRPr="00D30E3B">
        <w:rPr>
          <w:color w:val="000000"/>
          <w:lang w:val="nl-NL"/>
        </w:rPr>
        <w:t>nh kỷ luật</w:t>
      </w:r>
      <w:r w:rsidR="001858EF">
        <w:rPr>
          <w:color w:val="000000"/>
          <w:lang w:val="nl-NL"/>
        </w:rPr>
        <w:t>, kỷ cương hành chính;</w:t>
      </w:r>
      <w:r w:rsidR="00F2704F" w:rsidRPr="00E445AE">
        <w:rPr>
          <w:color w:val="000000"/>
          <w:lang w:val="nl-NL"/>
        </w:rPr>
        <w:t xml:space="preserve"> tình hình tổ chức giải quyết TTHC cho người dân, doanh nghiệp.</w:t>
      </w:r>
    </w:p>
    <w:p w:rsidR="00992FC5" w:rsidRDefault="00992FC5" w:rsidP="00737975">
      <w:pPr>
        <w:spacing w:after="120" w:line="252" w:lineRule="auto"/>
        <w:ind w:firstLine="720"/>
        <w:jc w:val="both"/>
        <w:rPr>
          <w:color w:val="000000"/>
        </w:rPr>
      </w:pPr>
      <w:r>
        <w:rPr>
          <w:shd w:val="clear" w:color="auto" w:fill="FFFFFF"/>
        </w:rPr>
        <w:t xml:space="preserve"> Đề nghị </w:t>
      </w:r>
      <w:r w:rsidRPr="0028574C">
        <w:rPr>
          <w:shd w:val="clear" w:color="auto" w:fill="FFFFFF"/>
          <w:lang w:val="vi-VN"/>
        </w:rPr>
        <w:t xml:space="preserve">Ủy ban Mặt trận Tổ quốc tỉnh và các </w:t>
      </w:r>
      <w:r>
        <w:rPr>
          <w:shd w:val="clear" w:color="auto" w:fill="FFFFFF"/>
        </w:rPr>
        <w:t>đoàn thể chính trị - xã hội</w:t>
      </w:r>
      <w:r w:rsidRPr="0028574C">
        <w:rPr>
          <w:shd w:val="clear" w:color="auto" w:fill="FFFFFF"/>
        </w:rPr>
        <w:t> </w:t>
      </w:r>
      <w:r w:rsidRPr="0028574C">
        <w:rPr>
          <w:shd w:val="clear" w:color="auto" w:fill="FFFFFF"/>
          <w:lang w:val="vi-VN"/>
        </w:rPr>
        <w:t xml:space="preserve">theo chức năng, nhiệm vụ của mình có các hoạt động thiết thực và cụ thể trong việc giám sát, phản biện xã hội... đối với quá trình thực hiện nhiệm vụ và phục vụ người dân, doanh nghiệp của các </w:t>
      </w:r>
      <w:r w:rsidRPr="0028574C">
        <w:rPr>
          <w:shd w:val="clear" w:color="auto" w:fill="FFFFFF"/>
        </w:rPr>
        <w:t>s</w:t>
      </w:r>
      <w:r w:rsidRPr="0028574C">
        <w:rPr>
          <w:shd w:val="clear" w:color="auto" w:fill="FFFFFF"/>
          <w:lang w:val="vi-VN"/>
        </w:rPr>
        <w:t>ở, ban, ngành và UBND các cấp trên địa bàn tỉnh. Kịp thời thông tin, phản ánh đến UBND tỉnh để có những biện pháp chấn chỉnh và nâng cao chất lượng phục vụ người dân</w:t>
      </w:r>
      <w:r w:rsidRPr="0028574C">
        <w:rPr>
          <w:shd w:val="clear" w:color="auto" w:fill="FFFFFF"/>
        </w:rPr>
        <w:t>,</w:t>
      </w:r>
      <w:r w:rsidRPr="0028574C">
        <w:rPr>
          <w:shd w:val="clear" w:color="auto" w:fill="FFFFFF"/>
          <w:lang w:val="vi-VN"/>
        </w:rPr>
        <w:t xml:space="preserve"> doanh nghiệp trong thời gian tới.</w:t>
      </w:r>
    </w:p>
    <w:p w:rsidR="00F11D4A" w:rsidRDefault="00F11D4A" w:rsidP="00737975">
      <w:pPr>
        <w:spacing w:after="120" w:line="252" w:lineRule="auto"/>
        <w:ind w:firstLine="624"/>
        <w:jc w:val="both"/>
      </w:pPr>
      <w:r>
        <w:rPr>
          <w:color w:val="000000"/>
        </w:rPr>
        <w:t xml:space="preserve"> </w:t>
      </w:r>
      <w:r w:rsidR="00A30D28">
        <w:rPr>
          <w:color w:val="000000"/>
          <w:shd w:val="clear" w:color="auto" w:fill="FFFFFF"/>
        </w:rPr>
        <w:t>Y</w:t>
      </w:r>
      <w:r w:rsidR="00A30D28" w:rsidRPr="007304B7">
        <w:rPr>
          <w:color w:val="000000"/>
          <w:shd w:val="clear" w:color="auto" w:fill="FFFFFF"/>
        </w:rPr>
        <w:t xml:space="preserve">êu cầu </w:t>
      </w:r>
      <w:r w:rsidR="00CF11FA">
        <w:rPr>
          <w:color w:val="000000"/>
          <w:shd w:val="clear" w:color="auto" w:fill="FFFFFF"/>
        </w:rPr>
        <w:t>Giám đốc (</w:t>
      </w:r>
      <w:r w:rsidR="00A30D28">
        <w:rPr>
          <w:color w:val="000000"/>
          <w:shd w:val="clear" w:color="auto" w:fill="FFFFFF"/>
        </w:rPr>
        <w:t>Thủ trưởng</w:t>
      </w:r>
      <w:r w:rsidR="00CF11FA">
        <w:rPr>
          <w:color w:val="000000"/>
          <w:shd w:val="clear" w:color="auto" w:fill="FFFFFF"/>
        </w:rPr>
        <w:t>)</w:t>
      </w:r>
      <w:r w:rsidR="00A30D28">
        <w:rPr>
          <w:color w:val="000000"/>
          <w:shd w:val="clear" w:color="auto" w:fill="FFFFFF"/>
        </w:rPr>
        <w:t xml:space="preserve"> các</w:t>
      </w:r>
      <w:r w:rsidR="00A30D28" w:rsidRPr="007304B7">
        <w:rPr>
          <w:color w:val="000000"/>
          <w:shd w:val="clear" w:color="auto" w:fill="FFFFFF"/>
        </w:rPr>
        <w:t xml:space="preserve"> sở, ban, ngành</w:t>
      </w:r>
      <w:r w:rsidR="00CF11FA">
        <w:rPr>
          <w:color w:val="000000"/>
          <w:shd w:val="clear" w:color="auto" w:fill="FFFFFF"/>
        </w:rPr>
        <w:t xml:space="preserve"> cấp tỉnh</w:t>
      </w:r>
      <w:r w:rsidR="00A30D28" w:rsidRPr="007304B7">
        <w:rPr>
          <w:color w:val="000000"/>
          <w:shd w:val="clear" w:color="auto" w:fill="FFFFFF"/>
        </w:rPr>
        <w:t xml:space="preserve">; Chủ tịch </w:t>
      </w:r>
      <w:r w:rsidR="00CF11FA">
        <w:rPr>
          <w:color w:val="000000"/>
          <w:shd w:val="clear" w:color="auto" w:fill="FFFFFF"/>
        </w:rPr>
        <w:t>UBND</w:t>
      </w:r>
      <w:r w:rsidR="00A30D28" w:rsidRPr="007304B7">
        <w:rPr>
          <w:color w:val="000000"/>
          <w:shd w:val="clear" w:color="auto" w:fill="FFFFFF"/>
        </w:rPr>
        <w:t xml:space="preserve"> </w:t>
      </w:r>
      <w:r w:rsidR="00A30D28">
        <w:rPr>
          <w:color w:val="000000"/>
          <w:shd w:val="clear" w:color="auto" w:fill="FFFFFF"/>
        </w:rPr>
        <w:t xml:space="preserve">các </w:t>
      </w:r>
      <w:r w:rsidR="00A30D28" w:rsidRPr="007304B7">
        <w:rPr>
          <w:color w:val="000000"/>
          <w:shd w:val="clear" w:color="auto" w:fill="FFFFFF"/>
        </w:rPr>
        <w:t>huyện, thành phố</w:t>
      </w:r>
      <w:r w:rsidR="00A30D28">
        <w:rPr>
          <w:color w:val="000000"/>
          <w:shd w:val="clear" w:color="auto" w:fill="FFFFFF"/>
        </w:rPr>
        <w:t>, thị xã</w:t>
      </w:r>
      <w:r w:rsidR="00CF11FA">
        <w:rPr>
          <w:color w:val="000000"/>
          <w:shd w:val="clear" w:color="auto" w:fill="FFFFFF"/>
        </w:rPr>
        <w:t>; các cơ quan Trung ương đóng trên địa bàn tỉnh</w:t>
      </w:r>
      <w:r w:rsidR="00A30D28" w:rsidRPr="007304B7">
        <w:rPr>
          <w:color w:val="000000"/>
          <w:shd w:val="clear" w:color="auto" w:fill="FFFFFF"/>
        </w:rPr>
        <w:t xml:space="preserve"> tổ chức triển khai và chỉ đạo các cơ quan, đơn vị, tổ chức thuộc phạm vi quản lý thực hiện nghiêm </w:t>
      </w:r>
      <w:r w:rsidR="00CB3DAF">
        <w:rPr>
          <w:color w:val="000000"/>
          <w:shd w:val="clear" w:color="auto" w:fill="FFFFFF"/>
        </w:rPr>
        <w:t xml:space="preserve">túc các nội dung nêu trên, định kỳ báo cáo </w:t>
      </w:r>
      <w:r w:rsidR="00597439">
        <w:rPr>
          <w:color w:val="000000"/>
          <w:shd w:val="clear" w:color="auto" w:fill="FFFFFF"/>
        </w:rPr>
        <w:t>về Sở Nội vụ theo quy định./.</w:t>
      </w:r>
    </w:p>
    <w:p w:rsidR="00E27FC4" w:rsidRPr="00E27FC4" w:rsidRDefault="00E27FC4" w:rsidP="00FF5425">
      <w:pPr>
        <w:spacing w:after="40" w:line="264" w:lineRule="auto"/>
        <w:ind w:firstLine="720"/>
        <w:jc w:val="both"/>
        <w:rPr>
          <w:sz w:val="10"/>
          <w:szCs w:val="10"/>
        </w:rPr>
      </w:pPr>
    </w:p>
    <w:tbl>
      <w:tblPr>
        <w:tblW w:w="9180" w:type="dxa"/>
        <w:tblCellMar>
          <w:left w:w="0" w:type="dxa"/>
          <w:right w:w="0" w:type="dxa"/>
        </w:tblCellMar>
        <w:tblLook w:val="0000" w:firstRow="0" w:lastRow="0" w:firstColumn="0" w:lastColumn="0" w:noHBand="0" w:noVBand="0"/>
      </w:tblPr>
      <w:tblGrid>
        <w:gridCol w:w="5070"/>
        <w:gridCol w:w="4110"/>
      </w:tblGrid>
      <w:tr w:rsidR="00B642AA" w:rsidRPr="00603857" w:rsidTr="00352DE9">
        <w:tc>
          <w:tcPr>
            <w:tcW w:w="5070" w:type="dxa"/>
            <w:tcMar>
              <w:top w:w="0" w:type="dxa"/>
              <w:left w:w="108" w:type="dxa"/>
              <w:bottom w:w="0" w:type="dxa"/>
              <w:right w:w="108" w:type="dxa"/>
            </w:tcMar>
          </w:tcPr>
          <w:p w:rsidR="00B642AA" w:rsidRDefault="00B642AA" w:rsidP="00B642AA">
            <w:pPr>
              <w:rPr>
                <w:bCs/>
                <w:iCs/>
                <w:sz w:val="22"/>
                <w:szCs w:val="22"/>
              </w:rPr>
            </w:pPr>
            <w:r w:rsidRPr="00B642AA">
              <w:rPr>
                <w:b/>
                <w:bCs/>
                <w:i/>
                <w:iCs/>
                <w:sz w:val="24"/>
                <w:szCs w:val="24"/>
              </w:rPr>
              <w:t>Nơi nhận:</w:t>
            </w:r>
            <w:r w:rsidRPr="00603857">
              <w:rPr>
                <w:b/>
                <w:bCs/>
                <w:i/>
                <w:iCs/>
              </w:rPr>
              <w:br/>
            </w:r>
            <w:r>
              <w:rPr>
                <w:bCs/>
                <w:iCs/>
                <w:sz w:val="22"/>
                <w:szCs w:val="22"/>
              </w:rPr>
              <w:t>- Như trên;</w:t>
            </w:r>
          </w:p>
          <w:p w:rsidR="00F11D4A" w:rsidRDefault="00F11D4A" w:rsidP="00B642AA">
            <w:pPr>
              <w:rPr>
                <w:bCs/>
                <w:iCs/>
                <w:sz w:val="22"/>
                <w:szCs w:val="22"/>
              </w:rPr>
            </w:pPr>
            <w:r>
              <w:rPr>
                <w:bCs/>
                <w:iCs/>
                <w:sz w:val="22"/>
                <w:szCs w:val="22"/>
              </w:rPr>
              <w:t xml:space="preserve">- </w:t>
            </w:r>
            <w:r w:rsidR="008470FB">
              <w:rPr>
                <w:bCs/>
                <w:iCs/>
                <w:sz w:val="22"/>
                <w:szCs w:val="22"/>
              </w:rPr>
              <w:t xml:space="preserve">Vụ CCHC, </w:t>
            </w:r>
            <w:r>
              <w:rPr>
                <w:bCs/>
                <w:iCs/>
                <w:sz w:val="22"/>
                <w:szCs w:val="22"/>
              </w:rPr>
              <w:t>Bộ Nội vụ;</w:t>
            </w:r>
          </w:p>
          <w:p w:rsidR="008470FB" w:rsidRDefault="008470FB" w:rsidP="00B642AA">
            <w:pPr>
              <w:rPr>
                <w:bCs/>
                <w:iCs/>
                <w:sz w:val="22"/>
                <w:szCs w:val="22"/>
              </w:rPr>
            </w:pPr>
            <w:r>
              <w:rPr>
                <w:bCs/>
                <w:iCs/>
                <w:sz w:val="22"/>
                <w:szCs w:val="22"/>
              </w:rPr>
              <w:t>- TT Tỉnh ủy, TT HĐND tỉnh;</w:t>
            </w:r>
          </w:p>
          <w:p w:rsidR="00B642AA" w:rsidRDefault="00B642AA" w:rsidP="00B642AA">
            <w:pPr>
              <w:rPr>
                <w:sz w:val="22"/>
                <w:szCs w:val="22"/>
              </w:rPr>
            </w:pPr>
            <w:r w:rsidRPr="00603857">
              <w:rPr>
                <w:sz w:val="22"/>
                <w:szCs w:val="22"/>
              </w:rPr>
              <w:t>- Chủ tịch</w:t>
            </w:r>
            <w:r w:rsidR="007E05CC">
              <w:rPr>
                <w:sz w:val="22"/>
                <w:szCs w:val="22"/>
              </w:rPr>
              <w:t xml:space="preserve">; </w:t>
            </w:r>
            <w:r w:rsidR="000A3B9E">
              <w:rPr>
                <w:sz w:val="22"/>
                <w:szCs w:val="22"/>
              </w:rPr>
              <w:t xml:space="preserve">các </w:t>
            </w:r>
            <w:r w:rsidR="007E05CC">
              <w:rPr>
                <w:sz w:val="22"/>
                <w:szCs w:val="22"/>
              </w:rPr>
              <w:t xml:space="preserve">PCT </w:t>
            </w:r>
            <w:r w:rsidRPr="00603857">
              <w:rPr>
                <w:sz w:val="22"/>
                <w:szCs w:val="22"/>
              </w:rPr>
              <w:t>UBND tỉnh</w:t>
            </w:r>
            <w:r>
              <w:rPr>
                <w:sz w:val="22"/>
                <w:szCs w:val="22"/>
              </w:rPr>
              <w:t>;</w:t>
            </w:r>
          </w:p>
          <w:p w:rsidR="007E05CC" w:rsidRDefault="005D19DD" w:rsidP="00B642AA">
            <w:pPr>
              <w:rPr>
                <w:sz w:val="22"/>
                <w:szCs w:val="22"/>
              </w:rPr>
            </w:pPr>
            <w:r>
              <w:rPr>
                <w:sz w:val="22"/>
                <w:szCs w:val="22"/>
              </w:rPr>
              <w:t>- Ch</w:t>
            </w:r>
            <w:r w:rsidR="008470FB">
              <w:rPr>
                <w:sz w:val="22"/>
                <w:szCs w:val="22"/>
              </w:rPr>
              <w:t>ánh</w:t>
            </w:r>
            <w:r w:rsidR="000A3B9E">
              <w:rPr>
                <w:sz w:val="22"/>
                <w:szCs w:val="22"/>
              </w:rPr>
              <w:t xml:space="preserve"> VP, các</w:t>
            </w:r>
            <w:r w:rsidR="008470FB">
              <w:rPr>
                <w:sz w:val="22"/>
                <w:szCs w:val="22"/>
              </w:rPr>
              <w:t xml:space="preserve"> PVP</w:t>
            </w:r>
            <w:r w:rsidR="000A3B9E">
              <w:rPr>
                <w:sz w:val="22"/>
                <w:szCs w:val="22"/>
              </w:rPr>
              <w:t>;</w:t>
            </w:r>
          </w:p>
          <w:p w:rsidR="008470FB" w:rsidRDefault="008470FB" w:rsidP="00B642AA">
            <w:pPr>
              <w:rPr>
                <w:sz w:val="22"/>
                <w:szCs w:val="22"/>
              </w:rPr>
            </w:pPr>
            <w:r>
              <w:rPr>
                <w:sz w:val="22"/>
                <w:szCs w:val="22"/>
              </w:rPr>
              <w:t>- UBMTTQ tỉnh và các đoàn thể chính trị - xã hội;</w:t>
            </w:r>
            <w:r>
              <w:rPr>
                <w:sz w:val="22"/>
                <w:szCs w:val="22"/>
              </w:rPr>
              <w:br/>
              <w:t xml:space="preserve">- Đài </w:t>
            </w:r>
            <w:r w:rsidR="00D91B64">
              <w:rPr>
                <w:sz w:val="22"/>
                <w:szCs w:val="22"/>
              </w:rPr>
              <w:t>PT-TH</w:t>
            </w:r>
            <w:r>
              <w:rPr>
                <w:sz w:val="22"/>
                <w:szCs w:val="22"/>
              </w:rPr>
              <w:t xml:space="preserve"> tỉnh; </w:t>
            </w:r>
          </w:p>
          <w:p w:rsidR="008470FB" w:rsidRDefault="008470FB" w:rsidP="00B642AA">
            <w:pPr>
              <w:rPr>
                <w:sz w:val="22"/>
                <w:szCs w:val="22"/>
              </w:rPr>
            </w:pPr>
            <w:r>
              <w:rPr>
                <w:sz w:val="22"/>
                <w:szCs w:val="22"/>
              </w:rPr>
              <w:t>- Báo Hà Tĩnh;</w:t>
            </w:r>
          </w:p>
          <w:p w:rsidR="000A3B9E" w:rsidRDefault="000A3B9E" w:rsidP="00B642AA">
            <w:pPr>
              <w:rPr>
                <w:sz w:val="22"/>
                <w:szCs w:val="22"/>
              </w:rPr>
            </w:pPr>
            <w:r>
              <w:rPr>
                <w:sz w:val="22"/>
                <w:szCs w:val="22"/>
              </w:rPr>
              <w:t>- Trung tâm TT-CB-TH tỉnh;</w:t>
            </w:r>
          </w:p>
          <w:p w:rsidR="007E05CC" w:rsidRDefault="00A0451A" w:rsidP="00B642AA">
            <w:pPr>
              <w:rPr>
                <w:sz w:val="22"/>
                <w:szCs w:val="22"/>
              </w:rPr>
            </w:pPr>
            <w:r>
              <w:rPr>
                <w:sz w:val="22"/>
                <w:szCs w:val="22"/>
              </w:rPr>
              <w:t xml:space="preserve">- Lưu: VT, </w:t>
            </w:r>
            <w:r w:rsidR="00597439">
              <w:rPr>
                <w:sz w:val="22"/>
                <w:szCs w:val="22"/>
              </w:rPr>
              <w:t>PC</w:t>
            </w:r>
            <w:r w:rsidR="007E05CC">
              <w:rPr>
                <w:sz w:val="22"/>
                <w:szCs w:val="22"/>
                <w:vertAlign w:val="subscript"/>
              </w:rPr>
              <w:t>1</w:t>
            </w:r>
            <w:r w:rsidR="000A3B9E">
              <w:rPr>
                <w:sz w:val="22"/>
                <w:szCs w:val="22"/>
              </w:rPr>
              <w:t>.</w:t>
            </w:r>
          </w:p>
          <w:p w:rsidR="00B642AA" w:rsidRPr="007E01D3" w:rsidRDefault="00B642AA" w:rsidP="00B642AA">
            <w:pPr>
              <w:rPr>
                <w:sz w:val="22"/>
                <w:szCs w:val="22"/>
              </w:rPr>
            </w:pPr>
          </w:p>
        </w:tc>
        <w:tc>
          <w:tcPr>
            <w:tcW w:w="4110" w:type="dxa"/>
            <w:tcMar>
              <w:top w:w="0" w:type="dxa"/>
              <w:left w:w="108" w:type="dxa"/>
              <w:bottom w:w="0" w:type="dxa"/>
              <w:right w:w="108" w:type="dxa"/>
            </w:tcMar>
          </w:tcPr>
          <w:p w:rsidR="00AD3E34" w:rsidRPr="00B37736" w:rsidRDefault="00B642AA" w:rsidP="00885589">
            <w:pPr>
              <w:jc w:val="center"/>
              <w:rPr>
                <w:b/>
                <w:bCs/>
                <w:sz w:val="26"/>
              </w:rPr>
            </w:pPr>
            <w:r w:rsidRPr="00B37736">
              <w:rPr>
                <w:b/>
                <w:bCs/>
                <w:sz w:val="26"/>
              </w:rPr>
              <w:t>TM. ỦY BAN NHÂN DÂN</w:t>
            </w:r>
            <w:r w:rsidRPr="00B37736">
              <w:rPr>
                <w:b/>
                <w:bCs/>
                <w:sz w:val="26"/>
              </w:rPr>
              <w:br/>
            </w:r>
            <w:r w:rsidR="00AD3E34" w:rsidRPr="00B37736">
              <w:rPr>
                <w:b/>
                <w:bCs/>
                <w:sz w:val="26"/>
              </w:rPr>
              <w:t xml:space="preserve">KT. </w:t>
            </w:r>
            <w:r w:rsidRPr="00B37736">
              <w:rPr>
                <w:b/>
                <w:bCs/>
                <w:sz w:val="26"/>
              </w:rPr>
              <w:t>CHỦ TỊCH</w:t>
            </w:r>
          </w:p>
          <w:p w:rsidR="00277575" w:rsidRDefault="00AD3E34" w:rsidP="00885589">
            <w:pPr>
              <w:jc w:val="center"/>
              <w:rPr>
                <w:bCs/>
                <w:i/>
              </w:rPr>
            </w:pPr>
            <w:r w:rsidRPr="00B37736">
              <w:rPr>
                <w:b/>
                <w:bCs/>
                <w:sz w:val="26"/>
              </w:rPr>
              <w:t>PHÓ CHỦ TỊCH</w:t>
            </w:r>
            <w:r w:rsidR="00B642AA">
              <w:rPr>
                <w:b/>
                <w:bCs/>
              </w:rPr>
              <w:br/>
            </w:r>
            <w:r w:rsidR="00B642AA">
              <w:rPr>
                <w:b/>
                <w:bCs/>
              </w:rPr>
              <w:br/>
            </w:r>
          </w:p>
          <w:p w:rsidR="00FF5425" w:rsidRPr="00E871FE" w:rsidRDefault="00E871FE" w:rsidP="00E871FE">
            <w:pPr>
              <w:jc w:val="center"/>
              <w:rPr>
                <w:b/>
                <w:bCs/>
              </w:rPr>
            </w:pPr>
            <w:r w:rsidRPr="00E871FE">
              <w:rPr>
                <w:b/>
                <w:bCs/>
              </w:rPr>
              <w:t>Đã ký</w:t>
            </w:r>
          </w:p>
          <w:p w:rsidR="000A3B9E" w:rsidRDefault="000A3B9E" w:rsidP="00AE3341">
            <w:pPr>
              <w:rPr>
                <w:bCs/>
                <w:i/>
              </w:rPr>
            </w:pPr>
            <w:bookmarkStart w:id="0" w:name="_GoBack"/>
            <w:bookmarkEnd w:id="0"/>
          </w:p>
          <w:p w:rsidR="00FF5425" w:rsidRPr="00603857" w:rsidRDefault="00FF5425" w:rsidP="00885589">
            <w:pPr>
              <w:jc w:val="center"/>
              <w:rPr>
                <w:b/>
                <w:bCs/>
              </w:rPr>
            </w:pPr>
          </w:p>
          <w:p w:rsidR="00B642AA" w:rsidRPr="00603857" w:rsidRDefault="00B642AA" w:rsidP="00AE1D39">
            <w:pPr>
              <w:jc w:val="center"/>
            </w:pPr>
            <w:r w:rsidRPr="00603857">
              <w:rPr>
                <w:b/>
                <w:bCs/>
              </w:rPr>
              <w:br/>
            </w:r>
            <w:r w:rsidR="00AE1D39">
              <w:rPr>
                <w:b/>
                <w:bCs/>
              </w:rPr>
              <w:t>Đặng Quốc Vinh</w:t>
            </w:r>
          </w:p>
        </w:tc>
      </w:tr>
    </w:tbl>
    <w:p w:rsidR="001A319C" w:rsidRDefault="001A319C" w:rsidP="0047146D"/>
    <w:p w:rsidR="00D91B64" w:rsidRDefault="00D91B64">
      <w:r>
        <w:br w:type="page"/>
      </w:r>
    </w:p>
    <w:p w:rsidR="005D1767" w:rsidRPr="00B37736" w:rsidRDefault="00633B2F">
      <w:pPr>
        <w:jc w:val="center"/>
        <w:rPr>
          <w:b/>
          <w:sz w:val="26"/>
          <w:szCs w:val="26"/>
        </w:rPr>
      </w:pPr>
      <w:r w:rsidRPr="00B37736">
        <w:rPr>
          <w:b/>
          <w:sz w:val="26"/>
          <w:szCs w:val="26"/>
        </w:rPr>
        <w:lastRenderedPageBreak/>
        <w:t>PH</w:t>
      </w:r>
      <w:r w:rsidR="005D1767" w:rsidRPr="00B37736">
        <w:rPr>
          <w:b/>
          <w:sz w:val="26"/>
          <w:szCs w:val="26"/>
        </w:rPr>
        <w:t>Ụ LỤC</w:t>
      </w:r>
    </w:p>
    <w:p w:rsidR="005D1767" w:rsidRPr="008B2FE7" w:rsidRDefault="005D1767" w:rsidP="008B2FE7">
      <w:pPr>
        <w:pStyle w:val="Heading1"/>
        <w:shd w:val="clear" w:color="auto" w:fill="FFFFFF"/>
        <w:spacing w:before="0" w:beforeAutospacing="0" w:after="0" w:afterAutospacing="0"/>
        <w:jc w:val="center"/>
        <w:textAlignment w:val="baseline"/>
        <w:rPr>
          <w:sz w:val="26"/>
          <w:szCs w:val="26"/>
        </w:rPr>
      </w:pPr>
      <w:r w:rsidRPr="008B2FE7">
        <w:rPr>
          <w:sz w:val="26"/>
          <w:szCs w:val="26"/>
        </w:rPr>
        <w:t>KẾT QUẢ CHỈ SỐ PAR INDEX</w:t>
      </w:r>
      <w:r w:rsidR="00250380">
        <w:rPr>
          <w:sz w:val="26"/>
          <w:szCs w:val="26"/>
        </w:rPr>
        <w:t>,</w:t>
      </w:r>
      <w:r w:rsidR="008B2FE7">
        <w:rPr>
          <w:sz w:val="26"/>
          <w:szCs w:val="26"/>
        </w:rPr>
        <w:t xml:space="preserve"> </w:t>
      </w:r>
      <w:r w:rsidRPr="008B2FE7">
        <w:rPr>
          <w:sz w:val="26"/>
          <w:szCs w:val="26"/>
        </w:rPr>
        <w:t>SIPAS</w:t>
      </w:r>
      <w:r w:rsidR="008B2FE7">
        <w:rPr>
          <w:sz w:val="26"/>
          <w:szCs w:val="26"/>
        </w:rPr>
        <w:t xml:space="preserve">, </w:t>
      </w:r>
      <w:r w:rsidRPr="008B2FE7">
        <w:rPr>
          <w:sz w:val="26"/>
          <w:szCs w:val="26"/>
        </w:rPr>
        <w:t>PAPI NĂM 2018 TỈNH HÀ TĨNH</w:t>
      </w:r>
    </w:p>
    <w:p w:rsidR="00D46E33" w:rsidRDefault="005D1767" w:rsidP="008B2FE7">
      <w:pPr>
        <w:jc w:val="center"/>
        <w:rPr>
          <w:i/>
        </w:rPr>
      </w:pPr>
      <w:r w:rsidRPr="00D46E33">
        <w:rPr>
          <w:i/>
        </w:rPr>
        <w:t>(K</w:t>
      </w:r>
      <w:r w:rsidR="00633B2F" w:rsidRPr="00D46E33">
        <w:rPr>
          <w:i/>
        </w:rPr>
        <w:t>èm theo Văn bản</w:t>
      </w:r>
      <w:r w:rsidRPr="00D46E33">
        <w:rPr>
          <w:i/>
        </w:rPr>
        <w:t xml:space="preserve"> số </w:t>
      </w:r>
      <w:r w:rsidR="00E871FE">
        <w:rPr>
          <w:i/>
        </w:rPr>
        <w:t>4119</w:t>
      </w:r>
      <w:r w:rsidR="00633B2F" w:rsidRPr="00D46E33">
        <w:rPr>
          <w:i/>
        </w:rPr>
        <w:t>/UBND-PC</w:t>
      </w:r>
      <w:r w:rsidR="00D46E33" w:rsidRPr="00D46E33">
        <w:rPr>
          <w:i/>
          <w:vertAlign w:val="subscript"/>
        </w:rPr>
        <w:t>1</w:t>
      </w:r>
      <w:r w:rsidRPr="00D46E33">
        <w:rPr>
          <w:i/>
        </w:rPr>
        <w:t xml:space="preserve"> ngày </w:t>
      </w:r>
      <w:r w:rsidR="00E871FE">
        <w:rPr>
          <w:i/>
        </w:rPr>
        <w:t>25</w:t>
      </w:r>
      <w:r w:rsidR="00D46E33">
        <w:rPr>
          <w:i/>
        </w:rPr>
        <w:t xml:space="preserve"> tháng </w:t>
      </w:r>
      <w:r w:rsidRPr="00D46E33">
        <w:rPr>
          <w:i/>
        </w:rPr>
        <w:t>6</w:t>
      </w:r>
      <w:r w:rsidR="00D46E33">
        <w:rPr>
          <w:i/>
        </w:rPr>
        <w:t xml:space="preserve"> năm </w:t>
      </w:r>
      <w:r w:rsidRPr="00D46E33">
        <w:rPr>
          <w:i/>
        </w:rPr>
        <w:t xml:space="preserve">2019 </w:t>
      </w:r>
    </w:p>
    <w:p w:rsidR="005D1767" w:rsidRPr="00D46E33" w:rsidRDefault="005D1767" w:rsidP="008B2FE7">
      <w:pPr>
        <w:jc w:val="center"/>
        <w:rPr>
          <w:i/>
        </w:rPr>
      </w:pPr>
      <w:r w:rsidRPr="00D46E33">
        <w:rPr>
          <w:i/>
        </w:rPr>
        <w:t xml:space="preserve">của </w:t>
      </w:r>
      <w:r w:rsidR="00D46E33">
        <w:rPr>
          <w:i/>
        </w:rPr>
        <w:t>Ủy ban nhân dân</w:t>
      </w:r>
      <w:r w:rsidR="00D46E33" w:rsidRPr="00D46E33">
        <w:rPr>
          <w:i/>
        </w:rPr>
        <w:t xml:space="preserve"> </w:t>
      </w:r>
      <w:r w:rsidRPr="00D46E33">
        <w:rPr>
          <w:i/>
        </w:rPr>
        <w:t>tỉnh</w:t>
      </w:r>
      <w:r w:rsidR="00D46E33">
        <w:rPr>
          <w:i/>
        </w:rPr>
        <w:t xml:space="preserve"> Hà Tĩnh</w:t>
      </w:r>
      <w:r w:rsidRPr="00D46E33">
        <w:rPr>
          <w:i/>
        </w:rPr>
        <w:t>)</w:t>
      </w:r>
    </w:p>
    <w:p w:rsidR="005D1767" w:rsidRPr="0028574C" w:rsidRDefault="00987DAC" w:rsidP="005D1767">
      <w:pPr>
        <w:shd w:val="clear" w:color="auto" w:fill="FFFFFF"/>
        <w:spacing w:before="80" w:line="264" w:lineRule="auto"/>
        <w:jc w:val="center"/>
        <w:rPr>
          <w:i/>
          <w:sz w:val="18"/>
        </w:rPr>
      </w:pPr>
      <w:r>
        <w:rPr>
          <w:noProof/>
        </w:rPr>
        <mc:AlternateContent>
          <mc:Choice Requires="wps">
            <w:drawing>
              <wp:anchor distT="4294967295" distB="4294967295" distL="114300" distR="114300" simplePos="0" relativeHeight="251659264" behindDoc="0" locked="0" layoutInCell="1" allowOverlap="1" wp14:anchorId="09384FC8" wp14:editId="505971DD">
                <wp:simplePos x="0" y="0"/>
                <wp:positionH relativeFrom="column">
                  <wp:posOffset>2234565</wp:posOffset>
                </wp:positionH>
                <wp:positionV relativeFrom="paragraph">
                  <wp:posOffset>25399</wp:posOffset>
                </wp:positionV>
                <wp:extent cx="1590675" cy="0"/>
                <wp:effectExtent l="0" t="0" r="9525" b="1905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5" o:spid="_x0000_s1026" type="#_x0000_t32" style="position:absolute;margin-left:175.95pt;margin-top:2pt;width:12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a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"/>
            </w:pict>
          </mc:Fallback>
        </mc:AlternateContent>
      </w:r>
    </w:p>
    <w:p w:rsidR="005D1767" w:rsidRPr="0028574C" w:rsidRDefault="005D1767" w:rsidP="005D1767">
      <w:pPr>
        <w:shd w:val="clear" w:color="auto" w:fill="FFFFFF"/>
        <w:spacing w:before="80" w:line="264" w:lineRule="auto"/>
        <w:ind w:firstLine="709"/>
        <w:jc w:val="both"/>
        <w:rPr>
          <w:b/>
          <w:bCs/>
          <w:sz w:val="2"/>
          <w:shd w:val="clear" w:color="auto" w:fill="FFFFFF"/>
        </w:rPr>
      </w:pPr>
    </w:p>
    <w:p w:rsidR="005D1767" w:rsidRPr="00B37736" w:rsidRDefault="005D1767" w:rsidP="008B2FE7">
      <w:pPr>
        <w:shd w:val="clear" w:color="auto" w:fill="FFFFFF"/>
        <w:spacing w:before="60"/>
        <w:ind w:firstLine="709"/>
        <w:jc w:val="both"/>
      </w:pPr>
      <w:r w:rsidRPr="00EA1887">
        <w:rPr>
          <w:color w:val="000000"/>
        </w:rPr>
        <w:tab/>
      </w:r>
      <w:r w:rsidRPr="0028574C">
        <w:t xml:space="preserve">Theo kết quả xếp hạng của các cơ quan, tổ chức ở Trung ương, </w:t>
      </w:r>
      <w:r>
        <w:t xml:space="preserve">các chỉ số CCHC của tỉnh Hà </w:t>
      </w:r>
      <w:r w:rsidRPr="00B37736">
        <w:t>Tĩnh năm 2018 đều tăng điểm và tăng hạng, cụ thể:</w:t>
      </w:r>
    </w:p>
    <w:p w:rsidR="005D1767" w:rsidRPr="00B37736" w:rsidRDefault="008B2FE7" w:rsidP="00482844">
      <w:pPr>
        <w:shd w:val="clear" w:color="auto" w:fill="FFFFFF"/>
        <w:spacing w:before="60"/>
        <w:ind w:firstLine="709"/>
        <w:jc w:val="both"/>
      </w:pPr>
      <w:r w:rsidRPr="00B37736">
        <w:t xml:space="preserve">- </w:t>
      </w:r>
      <w:r w:rsidR="005D1767" w:rsidRPr="00B37736">
        <w:t>Chỉ số PAR INDEX</w:t>
      </w:r>
      <w:r w:rsidR="00484BC4" w:rsidRPr="00B37736">
        <w:t xml:space="preserve"> (</w:t>
      </w:r>
      <w:r w:rsidR="00250380" w:rsidRPr="00B37736">
        <w:t>Chỉ số CCHC</w:t>
      </w:r>
      <w:r w:rsidR="00484BC4" w:rsidRPr="00B37736">
        <w:t>)</w:t>
      </w:r>
      <w:r w:rsidR="005D1767" w:rsidRPr="00B37736">
        <w:t xml:space="preserve"> </w:t>
      </w:r>
      <w:r w:rsidR="00650D91" w:rsidRPr="00B37736">
        <w:t xml:space="preserve">của </w:t>
      </w:r>
      <w:r w:rsidR="005D1767" w:rsidRPr="00B37736">
        <w:t>tỉnh Hà Tĩnh năm 2018 đạt 79,11 điểm xếp thứ 13/63 tỉnh, thành phố, trực thuộc Trung ương</w:t>
      </w:r>
      <w:r w:rsidR="00650D91" w:rsidRPr="00B37736">
        <w:t>,</w:t>
      </w:r>
      <w:r w:rsidR="005D1767" w:rsidRPr="00B37736">
        <w:t xml:space="preserve"> tăng </w:t>
      </w:r>
      <w:r w:rsidRPr="00B37736">
        <w:t>0</w:t>
      </w:r>
      <w:r w:rsidR="005D1767" w:rsidRPr="00B37736">
        <w:t xml:space="preserve">4 bậc so với năm 2017, xếp thứ nhất trong cụm </w:t>
      </w:r>
      <w:r w:rsidRPr="00B37736">
        <w:t>0</w:t>
      </w:r>
      <w:r w:rsidR="005D1767" w:rsidRPr="00B37736">
        <w:t xml:space="preserve">6 tỉnh Bắc Trung Bộ. Liên tục </w:t>
      </w:r>
      <w:r w:rsidRPr="00B37736">
        <w:t>0</w:t>
      </w:r>
      <w:r w:rsidR="005D1767" w:rsidRPr="00B37736">
        <w:t xml:space="preserve">7 năm liền (2012-2018) nằm trong nhóm các tỉnh có điểm số trung bình cao cả nước. </w:t>
      </w:r>
    </w:p>
    <w:p w:rsidR="005D1767" w:rsidRPr="00B37736" w:rsidRDefault="008B2FE7">
      <w:pPr>
        <w:spacing w:before="60"/>
        <w:ind w:firstLine="709"/>
        <w:jc w:val="both"/>
        <w:rPr>
          <w:bCs/>
        </w:rPr>
      </w:pPr>
      <w:r w:rsidRPr="00B37736">
        <w:t xml:space="preserve">- </w:t>
      </w:r>
      <w:r w:rsidR="005D1767" w:rsidRPr="00B37736">
        <w:t>Chỉ số SIPAS</w:t>
      </w:r>
      <w:r w:rsidR="00484BC4" w:rsidRPr="00B37736">
        <w:t xml:space="preserve"> (</w:t>
      </w:r>
      <w:r w:rsidR="00250380" w:rsidRPr="00B37736">
        <w:t>Chỉ số hài lòng của người dân, tổ chức đối với sự phục vụ của cơ quan hành chính nhà nước</w:t>
      </w:r>
      <w:r w:rsidR="00484BC4" w:rsidRPr="00B37736">
        <w:t xml:space="preserve">) </w:t>
      </w:r>
      <w:r w:rsidR="00650D91" w:rsidRPr="00B37736">
        <w:t>của</w:t>
      </w:r>
      <w:r w:rsidR="005D1767" w:rsidRPr="00B37736">
        <w:t xml:space="preserve"> tỉnh Hà Tĩnh </w:t>
      </w:r>
      <w:r w:rsidR="005D1767" w:rsidRPr="00B37736">
        <w:rPr>
          <w:bCs/>
        </w:rPr>
        <w:t>năm 2018 đạt 92,17% tăng 7,49% so với năm 2017 (</w:t>
      </w:r>
      <w:r w:rsidR="005D1767" w:rsidRPr="00B37736">
        <w:rPr>
          <w:bCs/>
          <w:i/>
        </w:rPr>
        <w:t>Năm 2017 đạt 84,68%).</w:t>
      </w:r>
      <w:r w:rsidR="005D1767" w:rsidRPr="00B37736">
        <w:rPr>
          <w:bCs/>
        </w:rPr>
        <w:t xml:space="preserve"> Xếp thứ </w:t>
      </w:r>
      <w:r w:rsidRPr="00B37736">
        <w:rPr>
          <w:bCs/>
        </w:rPr>
        <w:t>0</w:t>
      </w:r>
      <w:r w:rsidR="005D1767" w:rsidRPr="00B37736">
        <w:rPr>
          <w:bCs/>
        </w:rPr>
        <w:t>4/63 tỉnh, thành phố trực thuộc Trung ương.</w:t>
      </w:r>
    </w:p>
    <w:p w:rsidR="008B2FE7" w:rsidRDefault="008B2FE7" w:rsidP="008B2FE7">
      <w:pPr>
        <w:shd w:val="clear" w:color="auto" w:fill="FFFFFF"/>
        <w:spacing w:before="60"/>
        <w:ind w:firstLine="709"/>
        <w:jc w:val="both"/>
        <w:rPr>
          <w:snapToGrid w:val="0"/>
          <w:spacing w:val="-2"/>
        </w:rPr>
      </w:pPr>
      <w:r w:rsidRPr="00B37736">
        <w:t xml:space="preserve">- Chỉ số PAPI </w:t>
      </w:r>
      <w:r w:rsidR="00484BC4" w:rsidRPr="00B37736">
        <w:t>(</w:t>
      </w:r>
      <w:r w:rsidR="00250380" w:rsidRPr="00B37736">
        <w:t xml:space="preserve">Chỉ số Quản trị và </w:t>
      </w:r>
      <w:r w:rsidR="000C6858">
        <w:t>H</w:t>
      </w:r>
      <w:r w:rsidR="000C6858" w:rsidRPr="00B37736">
        <w:t xml:space="preserve">ành </w:t>
      </w:r>
      <w:r w:rsidR="00250380" w:rsidRPr="00B37736">
        <w:t>chính công cấp tỉnh</w:t>
      </w:r>
      <w:r w:rsidR="00484BC4" w:rsidRPr="00B37736">
        <w:t xml:space="preserve">) </w:t>
      </w:r>
      <w:r w:rsidRPr="00B37736">
        <w:t>của tỉnh Hà Tĩnh năm 2018 đạt 46,07/80 điểm xếp thứ 07/63 tỉnh, thành phố trực thuộc Trung ương đứng sau các tỉnh:</w:t>
      </w:r>
      <w:r w:rsidRPr="00B37736">
        <w:rPr>
          <w:lang w:val="vi-VN"/>
        </w:rPr>
        <w:t xml:space="preserve"> Lạng Sơn, Bắc Giang, Nghệ An, Quảng Bình, Quảng Trị, Tiền Giang</w:t>
      </w:r>
      <w:r w:rsidRPr="00B37736">
        <w:t>; tăng 05 bậc và 7,87 điểm so với năm 2017. Như vậy, liên tục trong 08 năm liền (2011-2018) PAPI Hà Tĩnh đều thuộc nhóm 16 tỉnh, thành phố có điểm số cao nhất cả nước (N</w:t>
      </w:r>
      <w:r w:rsidRPr="00B37736">
        <w:rPr>
          <w:snapToGrid w:val="0"/>
          <w:spacing w:val="-2"/>
        </w:rPr>
        <w:t xml:space="preserve">ăm 2010 xếp thứ 02/32, năm 2011 xếp thứ 05/63, năm 2012 xếp thứ 04/63, năm 2013 xếp thứ 05/63, năm </w:t>
      </w:r>
      <w:r w:rsidRPr="00EA1887">
        <w:rPr>
          <w:snapToGrid w:val="0"/>
          <w:spacing w:val="-2"/>
        </w:rPr>
        <w:t xml:space="preserve">2014 không xếp hạng, năm 2015 xếp thứ </w:t>
      </w:r>
      <w:r>
        <w:rPr>
          <w:snapToGrid w:val="0"/>
          <w:spacing w:val="-2"/>
        </w:rPr>
        <w:t>0</w:t>
      </w:r>
      <w:r w:rsidRPr="00EA1887">
        <w:rPr>
          <w:snapToGrid w:val="0"/>
          <w:spacing w:val="-2"/>
        </w:rPr>
        <w:t xml:space="preserve">1/63, năm 2016 xếp thứ </w:t>
      </w:r>
      <w:r>
        <w:rPr>
          <w:snapToGrid w:val="0"/>
          <w:spacing w:val="-2"/>
        </w:rPr>
        <w:t>0</w:t>
      </w:r>
      <w:r w:rsidRPr="00EA1887">
        <w:rPr>
          <w:snapToGrid w:val="0"/>
          <w:spacing w:val="-2"/>
        </w:rPr>
        <w:t xml:space="preserve">2/63 và năm 2017 xếp thứ 12/63 tỉnh và năm 2018 xếp thứ </w:t>
      </w:r>
      <w:r>
        <w:rPr>
          <w:snapToGrid w:val="0"/>
          <w:spacing w:val="-2"/>
        </w:rPr>
        <w:t>0</w:t>
      </w:r>
      <w:r w:rsidRPr="00EA1887">
        <w:rPr>
          <w:snapToGrid w:val="0"/>
          <w:spacing w:val="-2"/>
        </w:rPr>
        <w:t xml:space="preserve">7/63 tỉnh, thành phố trong cả nước). </w:t>
      </w:r>
    </w:p>
    <w:p w:rsidR="005D1767" w:rsidRPr="00904D8F" w:rsidRDefault="005D1767" w:rsidP="00482844">
      <w:pPr>
        <w:spacing w:before="60"/>
        <w:ind w:firstLine="709"/>
        <w:jc w:val="both"/>
        <w:rPr>
          <w:bCs/>
        </w:rPr>
      </w:pPr>
      <w:r>
        <w:rPr>
          <w:bCs/>
        </w:rPr>
        <w:t>Kết quả cụ thể các chỉ số như sau:</w:t>
      </w:r>
    </w:p>
    <w:p w:rsidR="005D1767" w:rsidRPr="006821B7" w:rsidRDefault="005D1767" w:rsidP="00B37736">
      <w:pPr>
        <w:spacing w:before="60"/>
        <w:ind w:firstLine="709"/>
        <w:jc w:val="both"/>
        <w:rPr>
          <w:b/>
          <w:snapToGrid w:val="0"/>
          <w:spacing w:val="-2"/>
        </w:rPr>
      </w:pPr>
      <w:r>
        <w:rPr>
          <w:b/>
          <w:snapToGrid w:val="0"/>
          <w:spacing w:val="-2"/>
        </w:rPr>
        <w:t>I</w:t>
      </w:r>
      <w:r w:rsidRPr="006821B7">
        <w:rPr>
          <w:b/>
          <w:snapToGrid w:val="0"/>
          <w:spacing w:val="-2"/>
        </w:rPr>
        <w:t xml:space="preserve">. </w:t>
      </w:r>
      <w:r w:rsidR="000C6858">
        <w:rPr>
          <w:b/>
          <w:snapToGrid w:val="0"/>
          <w:spacing w:val="-2"/>
        </w:rPr>
        <w:t>CHỈ SỐ</w:t>
      </w:r>
      <w:r w:rsidRPr="006821B7">
        <w:rPr>
          <w:b/>
          <w:snapToGrid w:val="0"/>
          <w:spacing w:val="-2"/>
        </w:rPr>
        <w:t xml:space="preserve"> PAR INDEX </w:t>
      </w:r>
    </w:p>
    <w:p w:rsidR="005D1767" w:rsidRDefault="005D1767" w:rsidP="008B2FE7">
      <w:pPr>
        <w:spacing w:before="60"/>
        <w:ind w:firstLine="709"/>
        <w:jc w:val="both"/>
        <w:rPr>
          <w:shd w:val="clear" w:color="auto" w:fill="FFFFFF"/>
        </w:rPr>
      </w:pPr>
      <w:r>
        <w:rPr>
          <w:shd w:val="clear" w:color="auto" w:fill="FFFFFF"/>
        </w:rPr>
        <w:t>Năm 2018</w:t>
      </w:r>
      <w:r w:rsidRPr="0028574C">
        <w:rPr>
          <w:shd w:val="clear" w:color="auto" w:fill="FFFFFF"/>
        </w:rPr>
        <w:t xml:space="preserve">, Bộ Nội vụ thực hiện đánh giá, chấm điểm </w:t>
      </w:r>
      <w:r w:rsidRPr="0028574C">
        <w:t>PAR</w:t>
      </w:r>
      <w:r>
        <w:t xml:space="preserve"> </w:t>
      </w:r>
      <w:r w:rsidRPr="0028574C">
        <w:t>INDEX</w:t>
      </w:r>
      <w:r w:rsidRPr="0028574C">
        <w:rPr>
          <w:shd w:val="clear" w:color="auto" w:fill="FFFFFF"/>
        </w:rPr>
        <w:t xml:space="preserve"> theo Bộ chỉ số mới ban hành kèm theo</w:t>
      </w:r>
      <w:r>
        <w:rPr>
          <w:shd w:val="clear" w:color="auto" w:fill="FFFFFF"/>
        </w:rPr>
        <w:t xml:space="preserve"> Quyết định số 2636</w:t>
      </w:r>
      <w:r w:rsidRPr="0028574C">
        <w:rPr>
          <w:shd w:val="clear" w:color="auto" w:fill="FFFFFF"/>
        </w:rPr>
        <w:t xml:space="preserve">/QĐ-BNV </w:t>
      </w:r>
      <w:r>
        <w:rPr>
          <w:shd w:val="clear" w:color="auto" w:fill="FFFFFF"/>
        </w:rPr>
        <w:t>ngày 10</w:t>
      </w:r>
      <w:r w:rsidRPr="0028574C">
        <w:rPr>
          <w:shd w:val="clear" w:color="auto" w:fill="FFFFFF"/>
        </w:rPr>
        <w:t>/12/201</w:t>
      </w:r>
      <w:r>
        <w:rPr>
          <w:shd w:val="clear" w:color="auto" w:fill="FFFFFF"/>
        </w:rPr>
        <w:t>8</w:t>
      </w:r>
      <w:r w:rsidRPr="0028574C">
        <w:rPr>
          <w:shd w:val="clear" w:color="auto" w:fill="FFFFFF"/>
        </w:rPr>
        <w:t xml:space="preserve"> của Bộ Nội vụ (thay thế Quyết định số </w:t>
      </w:r>
      <w:r>
        <w:rPr>
          <w:shd w:val="clear" w:color="auto" w:fill="FFFFFF"/>
        </w:rPr>
        <w:t>2948/QĐ-BNV ngày 28/12/2017</w:t>
      </w:r>
      <w:r w:rsidRPr="0028574C">
        <w:rPr>
          <w:shd w:val="clear" w:color="auto" w:fill="FFFFFF"/>
        </w:rPr>
        <w:t xml:space="preserve">) với nhiều tiêu chí, tiêu chí thành phần mới được bổ sung, thay thế so </w:t>
      </w:r>
      <w:r>
        <w:rPr>
          <w:shd w:val="clear" w:color="auto" w:fill="FFFFFF"/>
        </w:rPr>
        <w:t xml:space="preserve">với </w:t>
      </w:r>
      <w:r w:rsidRPr="0028574C">
        <w:rPr>
          <w:shd w:val="clear" w:color="auto" w:fill="FFFFFF"/>
        </w:rPr>
        <w:t>c</w:t>
      </w:r>
      <w:r>
        <w:rPr>
          <w:shd w:val="clear" w:color="auto" w:fill="FFFFFF"/>
        </w:rPr>
        <w:t>ác tiêu chí trong Bộ chỉ số cũ.</w:t>
      </w:r>
    </w:p>
    <w:p w:rsidR="005D1767" w:rsidRPr="0028574C" w:rsidRDefault="005D1767" w:rsidP="00482844">
      <w:pPr>
        <w:spacing w:before="60"/>
        <w:ind w:firstLine="709"/>
        <w:jc w:val="both"/>
        <w:rPr>
          <w:shd w:val="clear" w:color="auto" w:fill="FFFFFF"/>
        </w:rPr>
      </w:pPr>
      <w:r>
        <w:rPr>
          <w:shd w:val="clear" w:color="auto" w:fill="FFFFFF"/>
        </w:rPr>
        <w:t xml:space="preserve">PAR INDEX </w:t>
      </w:r>
      <w:r w:rsidRPr="0028574C">
        <w:rPr>
          <w:shd w:val="clear" w:color="auto" w:fill="FFFFFF"/>
        </w:rPr>
        <w:t>gồm đánh</w:t>
      </w:r>
      <w:r>
        <w:rPr>
          <w:shd w:val="clear" w:color="auto" w:fill="FFFFFF"/>
        </w:rPr>
        <w:t xml:space="preserve"> giá bên trong của cơ quan (t</w:t>
      </w:r>
      <w:r w:rsidRPr="0028574C">
        <w:rPr>
          <w:shd w:val="clear" w:color="auto" w:fill="FFFFFF"/>
        </w:rPr>
        <w:t>hẩm định của Hội đồng Thẩm định Tru</w:t>
      </w:r>
      <w:r>
        <w:rPr>
          <w:shd w:val="clear" w:color="auto" w:fill="FFFFFF"/>
        </w:rPr>
        <w:t>ng ương) và đánh giá bên ngoài (</w:t>
      </w:r>
      <w:r w:rsidRPr="0028574C">
        <w:rPr>
          <w:shd w:val="clear" w:color="auto" w:fill="FFFFFF"/>
        </w:rPr>
        <w:t>doanh nghiệp và người dân</w:t>
      </w:r>
      <w:r>
        <w:rPr>
          <w:shd w:val="clear" w:color="auto" w:fill="FFFFFF"/>
        </w:rPr>
        <w:t>)</w:t>
      </w:r>
      <w:r w:rsidRPr="0028574C">
        <w:rPr>
          <w:shd w:val="clear" w:color="auto" w:fill="FFFFFF"/>
        </w:rPr>
        <w:t xml:space="preserve">. Nội dung của Chỉ số được xác định trên 8 lĩnh vực, gồm: Công tác chỉ đạo điều hành CCHC; Xây dựng và tổ chức thực hiện văn bản quy phạm pháp luật; Cải cách thủ tục hành chính; Cải cách tổ chức bộ máy hành chính nhà nước; Xây dựng và nâng cao chất lượng đội ngũ cán bộ, công chức, viên chức; Cải cách tài chính công; Hiện đại hóa hành chính; Tác động của cải cách </w:t>
      </w:r>
      <w:r>
        <w:rPr>
          <w:shd w:val="clear" w:color="auto" w:fill="FFFFFF"/>
        </w:rPr>
        <w:t xml:space="preserve">hành chính </w:t>
      </w:r>
      <w:r w:rsidRPr="0028574C">
        <w:rPr>
          <w:shd w:val="clear" w:color="auto" w:fill="FFFFFF"/>
        </w:rPr>
        <w:t xml:space="preserve">đến người dân, tổ chức và phát triển kinh tế xã </w:t>
      </w:r>
      <w:r>
        <w:rPr>
          <w:shd w:val="clear" w:color="auto" w:fill="FFFFFF"/>
        </w:rPr>
        <w:t xml:space="preserve">hội của tỉnh. Tổng điểm của PAR INDEX </w:t>
      </w:r>
      <w:r w:rsidRPr="0028574C">
        <w:rPr>
          <w:shd w:val="clear" w:color="auto" w:fill="FFFFFF"/>
        </w:rPr>
        <w:t>là 100 điểm với phương pháp đánh giá: thông qua kết quả tự chấm điểm của địa phương (đánh giá bên trong) với số điểm tối đa là 64,5/100 điểm và kết quả điều tra xã hội học (đánh giá bên</w:t>
      </w:r>
      <w:r>
        <w:rPr>
          <w:shd w:val="clear" w:color="auto" w:fill="FFFFFF"/>
        </w:rPr>
        <w:t xml:space="preserve"> ngoài) với số điểm tối đa là 35</w:t>
      </w:r>
      <w:r w:rsidRPr="0028574C">
        <w:rPr>
          <w:shd w:val="clear" w:color="auto" w:fill="FFFFFF"/>
        </w:rPr>
        <w:t>,5/100 điểm.</w:t>
      </w:r>
    </w:p>
    <w:p w:rsidR="005D1767" w:rsidRPr="0028574C" w:rsidRDefault="005D1767">
      <w:pPr>
        <w:spacing w:before="60"/>
        <w:ind w:firstLine="709"/>
        <w:jc w:val="both"/>
        <w:rPr>
          <w:shd w:val="clear" w:color="auto" w:fill="FFFFFF"/>
        </w:rPr>
      </w:pPr>
      <w:r w:rsidRPr="0028574C">
        <w:rPr>
          <w:shd w:val="clear" w:color="auto" w:fill="FFFFFF"/>
        </w:rPr>
        <w:t>Kết quả chỉ số PAR</w:t>
      </w:r>
      <w:r>
        <w:rPr>
          <w:shd w:val="clear" w:color="auto" w:fill="FFFFFF"/>
        </w:rPr>
        <w:t xml:space="preserve"> </w:t>
      </w:r>
      <w:r w:rsidRPr="0028574C">
        <w:rPr>
          <w:shd w:val="clear" w:color="auto" w:fill="FFFFFF"/>
        </w:rPr>
        <w:t>INDEX Hà Tĩnh 201</w:t>
      </w:r>
      <w:r>
        <w:rPr>
          <w:shd w:val="clear" w:color="auto" w:fill="FFFFFF"/>
        </w:rPr>
        <w:t>8</w:t>
      </w:r>
      <w:r w:rsidRPr="0028574C">
        <w:rPr>
          <w:shd w:val="clear" w:color="auto" w:fill="FFFFFF"/>
        </w:rPr>
        <w:t>, cụ thể như sau:</w:t>
      </w:r>
    </w:p>
    <w:p w:rsidR="005D1767" w:rsidRPr="0028574C" w:rsidRDefault="005D1767">
      <w:pPr>
        <w:spacing w:before="60"/>
        <w:ind w:firstLine="709"/>
        <w:jc w:val="both"/>
        <w:rPr>
          <w:shd w:val="clear" w:color="auto" w:fill="FFFFFF"/>
        </w:rPr>
      </w:pPr>
      <w:r>
        <w:rPr>
          <w:shd w:val="clear" w:color="auto" w:fill="FFFFFF"/>
        </w:rPr>
        <w:lastRenderedPageBreak/>
        <w:t>Tổng điểm đánh giá: 79,11</w:t>
      </w:r>
      <w:r w:rsidRPr="0028574C">
        <w:rPr>
          <w:shd w:val="clear" w:color="auto" w:fill="FFFFFF"/>
        </w:rPr>
        <w:t>/100 đi</w:t>
      </w:r>
      <w:r>
        <w:rPr>
          <w:shd w:val="clear" w:color="auto" w:fill="FFFFFF"/>
        </w:rPr>
        <w:t>ểm, trong đó: Điểm thẩm định: 46</w:t>
      </w:r>
      <w:r w:rsidRPr="0028574C">
        <w:rPr>
          <w:shd w:val="clear" w:color="auto" w:fill="FFFFFF"/>
        </w:rPr>
        <w:t>,</w:t>
      </w:r>
      <w:r>
        <w:rPr>
          <w:shd w:val="clear" w:color="auto" w:fill="FFFFFF"/>
        </w:rPr>
        <w:t>83/60</w:t>
      </w:r>
      <w:r w:rsidRPr="0028574C">
        <w:rPr>
          <w:shd w:val="clear" w:color="auto" w:fill="FFFFFF"/>
        </w:rPr>
        <w:t xml:space="preserve"> </w:t>
      </w:r>
      <w:r>
        <w:rPr>
          <w:shd w:val="clear" w:color="auto" w:fill="FFFFFF"/>
        </w:rPr>
        <w:t>điểm, Điểm đánh giá tác động: 32,28/40 điểm bao gồm:</w:t>
      </w:r>
      <w:r w:rsidRPr="0028574C">
        <w:rPr>
          <w:shd w:val="clear" w:color="auto" w:fill="FFFFFF"/>
        </w:rPr>
        <w:t xml:space="preserve"> Chỉ số đo lường sự hài lòng của người dân </w:t>
      </w:r>
      <w:r>
        <w:rPr>
          <w:shd w:val="clear" w:color="auto" w:fill="FFFFFF"/>
        </w:rPr>
        <w:t>(</w:t>
      </w:r>
      <w:r w:rsidRPr="0028574C">
        <w:rPr>
          <w:shd w:val="clear" w:color="auto" w:fill="FFFFFF"/>
        </w:rPr>
        <w:t>SIPAS</w:t>
      </w:r>
      <w:r>
        <w:rPr>
          <w:shd w:val="clear" w:color="auto" w:fill="FFFFFF"/>
        </w:rPr>
        <w:t>)</w:t>
      </w:r>
      <w:r w:rsidRPr="0028574C">
        <w:rPr>
          <w:shd w:val="clear" w:color="auto" w:fill="FFFFFF"/>
        </w:rPr>
        <w:t xml:space="preserve"> </w:t>
      </w:r>
      <w:r>
        <w:rPr>
          <w:shd w:val="clear" w:color="auto" w:fill="FFFFFF"/>
        </w:rPr>
        <w:t xml:space="preserve">đạt: 11,09/12 điểm; </w:t>
      </w:r>
      <w:r w:rsidRPr="0028574C">
        <w:rPr>
          <w:shd w:val="clear" w:color="auto" w:fill="FFFFFF"/>
        </w:rPr>
        <w:t>Khảo sát</w:t>
      </w:r>
      <w:r>
        <w:rPr>
          <w:shd w:val="clear" w:color="auto" w:fill="FFFFFF"/>
        </w:rPr>
        <w:t xml:space="preserve"> lãnh đạo quản lý đạt 17,69/23,5 điểm và T</w:t>
      </w:r>
      <w:r w:rsidRPr="0028574C">
        <w:rPr>
          <w:shd w:val="clear" w:color="auto" w:fill="FFFFFF"/>
        </w:rPr>
        <w:t>ác động đến sự phát triển kinh tế - xã hội tỉnh,</w:t>
      </w:r>
      <w:r>
        <w:rPr>
          <w:shd w:val="clear" w:color="auto" w:fill="FFFFFF"/>
        </w:rPr>
        <w:t xml:space="preserve"> đạt 3,5/4,5</w:t>
      </w:r>
      <w:r w:rsidRPr="0028574C">
        <w:rPr>
          <w:shd w:val="clear" w:color="auto" w:fill="FFFFFF"/>
        </w:rPr>
        <w:t xml:space="preserve"> điểm).</w:t>
      </w:r>
    </w:p>
    <w:p w:rsidR="005D1767" w:rsidRPr="0028574C" w:rsidRDefault="005D1767">
      <w:pPr>
        <w:spacing w:before="60"/>
        <w:ind w:firstLine="709"/>
        <w:jc w:val="both"/>
        <w:rPr>
          <w:shd w:val="clear" w:color="auto" w:fill="FFFFFF"/>
        </w:rPr>
      </w:pPr>
      <w:r w:rsidRPr="0028574C">
        <w:rPr>
          <w:shd w:val="clear" w:color="auto" w:fill="FFFFFF"/>
        </w:rPr>
        <w:t>Điểm cụ thể của từng lĩnh vực như sau:</w:t>
      </w:r>
    </w:p>
    <w:p w:rsidR="005D1767" w:rsidRPr="0038307C" w:rsidRDefault="005D1767">
      <w:pPr>
        <w:spacing w:before="60"/>
        <w:ind w:firstLine="709"/>
        <w:jc w:val="both"/>
        <w:rPr>
          <w:shd w:val="clear" w:color="auto" w:fill="FFFFFF"/>
        </w:rPr>
      </w:pPr>
      <w:r>
        <w:rPr>
          <w:b/>
          <w:shd w:val="clear" w:color="auto" w:fill="FFFFFF"/>
        </w:rPr>
        <w:t>1. Công tác chỉ đạo điều hành: 6,64/9</w:t>
      </w:r>
      <w:r w:rsidRPr="0028574C">
        <w:rPr>
          <w:b/>
          <w:shd w:val="clear" w:color="auto" w:fill="FFFFFF"/>
        </w:rPr>
        <w:t xml:space="preserve"> điểm</w:t>
      </w:r>
      <w:r>
        <w:rPr>
          <w:shd w:val="clear" w:color="auto" w:fill="FFFFFF"/>
        </w:rPr>
        <w:t xml:space="preserve"> (xếp thứ 36</w:t>
      </w:r>
      <w:r w:rsidRPr="0028574C">
        <w:rPr>
          <w:shd w:val="clear" w:color="auto" w:fill="FFFFFF"/>
        </w:rPr>
        <w:t xml:space="preserve"> trong số các tỉnh</w:t>
      </w:r>
      <w:r w:rsidRPr="0038307C">
        <w:rPr>
          <w:shd w:val="clear" w:color="auto" w:fill="FFFFFF"/>
        </w:rPr>
        <w:t>, thành phố, trực thuộc Trung ương</w:t>
      </w:r>
      <w:r>
        <w:rPr>
          <w:shd w:val="clear" w:color="auto" w:fill="FFFFFF"/>
        </w:rPr>
        <w:t>, giảm 14 bậc so với năm 2017)</w:t>
      </w:r>
      <w:r w:rsidRPr="0038307C">
        <w:rPr>
          <w:shd w:val="clear" w:color="auto" w:fill="FFFFFF"/>
        </w:rPr>
        <w:t>.</w:t>
      </w:r>
      <w:r>
        <w:rPr>
          <w:shd w:val="clear" w:color="auto" w:fill="FFFFFF"/>
        </w:rPr>
        <w:t xml:space="preserve"> </w:t>
      </w:r>
      <w:r w:rsidRPr="0038307C">
        <w:rPr>
          <w:shd w:val="clear" w:color="auto" w:fill="FFFFFF"/>
        </w:rPr>
        <w:t>Lý do trừ điểm</w:t>
      </w:r>
      <w:r>
        <w:rPr>
          <w:shd w:val="clear" w:color="auto" w:fill="FFFFFF"/>
        </w:rPr>
        <w:t>:.</w:t>
      </w:r>
    </w:p>
    <w:p w:rsidR="005D1767" w:rsidRPr="007E00BB" w:rsidRDefault="005D1767">
      <w:pPr>
        <w:spacing w:before="60"/>
        <w:ind w:firstLine="709"/>
        <w:jc w:val="both"/>
        <w:rPr>
          <w:bCs/>
          <w:i/>
          <w:shd w:val="clear" w:color="auto" w:fill="FFFFFF"/>
        </w:rPr>
      </w:pPr>
      <w:r>
        <w:rPr>
          <w:bCs/>
          <w:shd w:val="clear" w:color="auto" w:fill="FFFFFF"/>
        </w:rPr>
        <w:t xml:space="preserve">- </w:t>
      </w:r>
      <w:r w:rsidRPr="007E00BB">
        <w:rPr>
          <w:bCs/>
          <w:i/>
          <w:shd w:val="clear" w:color="auto" w:fill="FFFFFF"/>
        </w:rPr>
        <w:t>Tiêu chí:  Mức độ hoàn thành Kế hoạch CCHC năm đạt 0,89/ 01 điểm</w:t>
      </w:r>
      <w:r w:rsidRPr="0038307C">
        <w:rPr>
          <w:bCs/>
          <w:shd w:val="clear" w:color="auto" w:fill="FFFFFF"/>
        </w:rPr>
        <w:t xml:space="preserve">, </w:t>
      </w:r>
      <w:r w:rsidRPr="007E00BB">
        <w:rPr>
          <w:bCs/>
          <w:i/>
          <w:shd w:val="clear" w:color="auto" w:fill="FFFFFF"/>
        </w:rPr>
        <w:t xml:space="preserve">lý do trừ điểm: </w:t>
      </w:r>
    </w:p>
    <w:p w:rsidR="005D1767" w:rsidRPr="0038307C" w:rsidRDefault="005D1767">
      <w:pPr>
        <w:spacing w:before="60"/>
        <w:ind w:firstLine="709"/>
        <w:jc w:val="both"/>
        <w:rPr>
          <w:shd w:val="clear" w:color="auto" w:fill="FFFFFF"/>
        </w:rPr>
      </w:pPr>
      <w:r w:rsidRPr="0038307C">
        <w:rPr>
          <w:bCs/>
          <w:shd w:val="clear" w:color="auto" w:fill="FFFFFF"/>
        </w:rPr>
        <w:t>Một số nhiệm vụ trong kế hoạch CCHC chưa thực hiện</w:t>
      </w:r>
      <w:r>
        <w:rPr>
          <w:bCs/>
          <w:shd w:val="clear" w:color="auto" w:fill="FFFFFF"/>
        </w:rPr>
        <w:t xml:space="preserve"> theo Kế hoạch CCHC năm 2018 đề ra</w:t>
      </w:r>
      <w:r w:rsidRPr="0038307C">
        <w:rPr>
          <w:bCs/>
          <w:shd w:val="clear" w:color="auto" w:fill="FFFFFF"/>
        </w:rPr>
        <w:t xml:space="preserve"> như</w:t>
      </w:r>
      <w:r>
        <w:rPr>
          <w:bCs/>
          <w:shd w:val="clear" w:color="auto" w:fill="FFFFFF"/>
        </w:rPr>
        <w:t>:</w:t>
      </w:r>
      <w:r w:rsidRPr="0038307C">
        <w:rPr>
          <w:bCs/>
          <w:shd w:val="clear" w:color="auto" w:fill="FFFFFF"/>
        </w:rPr>
        <w:t xml:space="preserve"> việc sửa đổi Quyết định </w:t>
      </w:r>
      <w:r w:rsidRPr="0038307C">
        <w:rPr>
          <w:shd w:val="clear" w:color="auto" w:fill="FFFFFF"/>
        </w:rPr>
        <w:t xml:space="preserve">44/2014/QĐ-UBND của UBND tỉnh, thi tuyển công chức, triển khai </w:t>
      </w:r>
      <w:r>
        <w:rPr>
          <w:shd w:val="clear" w:color="auto" w:fill="FFFFFF"/>
        </w:rPr>
        <w:t xml:space="preserve">400 </w:t>
      </w:r>
      <w:r w:rsidRPr="0038307C">
        <w:rPr>
          <w:shd w:val="clear" w:color="auto" w:fill="FFFFFF"/>
        </w:rPr>
        <w:t>dịch vụ công…</w:t>
      </w:r>
    </w:p>
    <w:p w:rsidR="005D1767" w:rsidRPr="007E00BB" w:rsidRDefault="005D1767">
      <w:pPr>
        <w:spacing w:before="60"/>
        <w:ind w:firstLine="709"/>
        <w:jc w:val="both"/>
        <w:rPr>
          <w:i/>
          <w:iCs/>
        </w:rPr>
      </w:pPr>
      <w:r w:rsidRPr="007E00BB">
        <w:rPr>
          <w:i/>
          <w:iCs/>
        </w:rPr>
        <w:t>- Tiêu chí Chế độ báo cáo CCHC: 1/1,75 điểm, lý do trừ điểm:</w:t>
      </w:r>
    </w:p>
    <w:p w:rsidR="005D1767" w:rsidRDefault="005D1767">
      <w:pPr>
        <w:spacing w:before="60"/>
        <w:ind w:firstLine="709"/>
        <w:jc w:val="both"/>
        <w:rPr>
          <w:iCs/>
        </w:rPr>
      </w:pPr>
      <w:r>
        <w:rPr>
          <w:iCs/>
        </w:rPr>
        <w:t>+</w:t>
      </w:r>
      <w:r w:rsidRPr="0038307C">
        <w:rPr>
          <w:iCs/>
        </w:rPr>
        <w:t xml:space="preserve"> </w:t>
      </w:r>
      <w:r w:rsidRPr="0028574C">
        <w:rPr>
          <w:iCs/>
        </w:rPr>
        <w:t>Báo cáo tình hình Ứng dụng CNTT quý</w:t>
      </w:r>
      <w:r>
        <w:rPr>
          <w:iCs/>
        </w:rPr>
        <w:t xml:space="preserve"> II, III ban hành muộn so với quy định (- 0,5</w:t>
      </w:r>
      <w:r w:rsidRPr="0028574C">
        <w:rPr>
          <w:iCs/>
        </w:rPr>
        <w:t xml:space="preserve"> điểm</w:t>
      </w:r>
      <w:r>
        <w:rPr>
          <w:iCs/>
        </w:rPr>
        <w:t>)</w:t>
      </w:r>
      <w:r w:rsidRPr="0028574C">
        <w:rPr>
          <w:iCs/>
        </w:rPr>
        <w:t>.</w:t>
      </w:r>
    </w:p>
    <w:p w:rsidR="005D1767" w:rsidRDefault="005D1767">
      <w:pPr>
        <w:spacing w:before="60"/>
        <w:ind w:firstLine="709"/>
        <w:jc w:val="both"/>
        <w:rPr>
          <w:shd w:val="clear" w:color="auto" w:fill="FFFFFF"/>
        </w:rPr>
      </w:pPr>
      <w:r>
        <w:rPr>
          <w:shd w:val="clear" w:color="auto" w:fill="FFFFFF"/>
        </w:rPr>
        <w:t>+</w:t>
      </w:r>
      <w:r w:rsidRPr="009F5D2A">
        <w:rPr>
          <w:shd w:val="clear" w:color="auto" w:fill="FFFFFF"/>
        </w:rPr>
        <w:t xml:space="preserve"> Báo cáo năm về đào tạo, bồi dưỡng ban hành ngày 15/02/2019 quá hạn so với quy định</w:t>
      </w:r>
      <w:r>
        <w:rPr>
          <w:shd w:val="clear" w:color="auto" w:fill="FFFFFF"/>
        </w:rPr>
        <w:t xml:space="preserve">  (-0,25 điểm).</w:t>
      </w:r>
    </w:p>
    <w:p w:rsidR="005D1767" w:rsidRPr="00D31E9C" w:rsidRDefault="005D1767">
      <w:pPr>
        <w:spacing w:before="60"/>
        <w:ind w:firstLine="709"/>
        <w:jc w:val="both"/>
        <w:rPr>
          <w:iCs/>
        </w:rPr>
      </w:pPr>
      <w:r w:rsidRPr="007E00BB">
        <w:rPr>
          <w:i/>
          <w:shd w:val="clear" w:color="auto" w:fill="FFFFFF"/>
        </w:rPr>
        <w:t>- Tiêu chí: Sáng kiến hoặc giải pháp mới trong CCHC: 1/2 điểm, lý do trừ điểm:</w:t>
      </w:r>
      <w:r>
        <w:rPr>
          <w:shd w:val="clear" w:color="auto" w:fill="FFFFFF"/>
        </w:rPr>
        <w:t xml:space="preserve"> </w:t>
      </w:r>
      <w:r w:rsidRPr="00D31E9C">
        <w:rPr>
          <w:shd w:val="clear" w:color="auto" w:fill="FFFFFF"/>
        </w:rPr>
        <w:t xml:space="preserve">Các </w:t>
      </w:r>
      <w:r>
        <w:rPr>
          <w:shd w:val="clear" w:color="auto" w:fill="FFFFFF"/>
        </w:rPr>
        <w:t xml:space="preserve">sáng kiến </w:t>
      </w:r>
      <w:r w:rsidRPr="00D31E9C">
        <w:rPr>
          <w:shd w:val="clear" w:color="auto" w:fill="FFFFFF"/>
        </w:rPr>
        <w:t>nội dung về sáp nhập các tổ chứ</w:t>
      </w:r>
      <w:r>
        <w:rPr>
          <w:shd w:val="clear" w:color="auto" w:fill="FFFFFF"/>
        </w:rPr>
        <w:t>c không phải là sáng kiến của địa phương</w:t>
      </w:r>
      <w:r w:rsidRPr="00D31E9C">
        <w:rPr>
          <w:shd w:val="clear" w:color="auto" w:fill="FFFFFF"/>
        </w:rPr>
        <w:t>, mà là thực hiện theo</w:t>
      </w:r>
      <w:r>
        <w:rPr>
          <w:shd w:val="clear" w:color="auto" w:fill="FFFFFF"/>
        </w:rPr>
        <w:t xml:space="preserve"> quy định tại các văn bản của Trung ương vì vậy chỉ chấp thuận 01 sáng kiến đạt yêu cầu.</w:t>
      </w:r>
    </w:p>
    <w:p w:rsidR="005D1767" w:rsidRPr="007E00BB" w:rsidRDefault="005D1767">
      <w:pPr>
        <w:spacing w:before="60"/>
        <w:ind w:firstLine="709"/>
        <w:jc w:val="both"/>
        <w:rPr>
          <w:bCs/>
          <w:i/>
        </w:rPr>
      </w:pPr>
      <w:r w:rsidRPr="007E00BB">
        <w:rPr>
          <w:i/>
          <w:shd w:val="clear" w:color="auto" w:fill="FFFFFF"/>
        </w:rPr>
        <w:t>- Tiêu chí</w:t>
      </w:r>
      <w:r>
        <w:rPr>
          <w:i/>
          <w:shd w:val="clear" w:color="auto" w:fill="FFFFFF"/>
        </w:rPr>
        <w:t>:</w:t>
      </w:r>
      <w:r w:rsidRPr="007E00BB">
        <w:rPr>
          <w:i/>
          <w:shd w:val="clear" w:color="auto" w:fill="FFFFFF"/>
        </w:rPr>
        <w:t xml:space="preserve"> </w:t>
      </w:r>
      <w:r w:rsidRPr="007E00BB">
        <w:rPr>
          <w:bCs/>
          <w:i/>
        </w:rPr>
        <w:t>Thực hiện các nhiệm vụ được Chính phủ, Thủ tướng Chính phủ giao: 0,5/1 điểm, lý do trừ điểm:</w:t>
      </w:r>
    </w:p>
    <w:p w:rsidR="005D1767" w:rsidRPr="00375CDB" w:rsidRDefault="005D1767">
      <w:pPr>
        <w:spacing w:before="60"/>
        <w:ind w:firstLine="709"/>
        <w:jc w:val="both"/>
        <w:rPr>
          <w:shd w:val="clear" w:color="auto" w:fill="FFFFFF"/>
        </w:rPr>
      </w:pPr>
      <w:r w:rsidRPr="00375CDB">
        <w:rPr>
          <w:iCs/>
        </w:rPr>
        <w:t>T</w:t>
      </w:r>
      <w:r w:rsidRPr="00375CDB">
        <w:rPr>
          <w:shd w:val="clear" w:color="auto" w:fill="FFFFFF"/>
        </w:rPr>
        <w:t>heo báo cáo 471/TCT-TTg, ngày 27/12/2018, tỉnh có 01 nhiệm vụ hoàn thành muộn so với thời hạn được giao</w:t>
      </w:r>
      <w:r w:rsidRPr="00375CDB">
        <w:rPr>
          <w:iCs/>
        </w:rPr>
        <w:t>.</w:t>
      </w:r>
    </w:p>
    <w:p w:rsidR="005D1767" w:rsidRDefault="005D1767">
      <w:pPr>
        <w:spacing w:before="60"/>
        <w:ind w:firstLine="709"/>
        <w:jc w:val="both"/>
        <w:rPr>
          <w:shd w:val="clear" w:color="auto" w:fill="FFFFFF"/>
        </w:rPr>
      </w:pPr>
      <w:r w:rsidRPr="0028574C">
        <w:rPr>
          <w:b/>
          <w:shd w:val="clear" w:color="auto" w:fill="FFFFFF"/>
        </w:rPr>
        <w:t>2.</w:t>
      </w:r>
      <w:r w:rsidRPr="0028574C">
        <w:rPr>
          <w:shd w:val="clear" w:color="auto" w:fill="FFFFFF"/>
        </w:rPr>
        <w:t xml:space="preserve"> </w:t>
      </w:r>
      <w:r w:rsidRPr="0028574C">
        <w:rPr>
          <w:b/>
          <w:shd w:val="clear" w:color="auto" w:fill="FFFFFF"/>
        </w:rPr>
        <w:t>Xây dựng và tổ chức thực hiện VBQPPL tại tỉnh</w:t>
      </w:r>
      <w:r w:rsidRPr="0028574C">
        <w:rPr>
          <w:shd w:val="clear" w:color="auto" w:fill="FFFFFF"/>
        </w:rPr>
        <w:t xml:space="preserve">: </w:t>
      </w:r>
      <w:r w:rsidRPr="00BB2DE5">
        <w:rPr>
          <w:b/>
          <w:shd w:val="clear" w:color="auto" w:fill="FFFFFF"/>
        </w:rPr>
        <w:t>8,6</w:t>
      </w:r>
      <w:r>
        <w:rPr>
          <w:b/>
          <w:shd w:val="clear" w:color="auto" w:fill="FFFFFF"/>
        </w:rPr>
        <w:t>5</w:t>
      </w:r>
      <w:r w:rsidRPr="00BB2DE5">
        <w:rPr>
          <w:b/>
          <w:shd w:val="clear" w:color="auto" w:fill="FFFFFF"/>
        </w:rPr>
        <w:t>/10</w:t>
      </w:r>
      <w:r w:rsidRPr="0028574C">
        <w:rPr>
          <w:b/>
          <w:shd w:val="clear" w:color="auto" w:fill="FFFFFF"/>
        </w:rPr>
        <w:t xml:space="preserve"> điểm</w:t>
      </w:r>
      <w:r w:rsidRPr="0028574C">
        <w:rPr>
          <w:shd w:val="clear" w:color="auto" w:fill="FFFFFF"/>
        </w:rPr>
        <w:t xml:space="preserve"> (xếp thứ 2</w:t>
      </w:r>
      <w:r>
        <w:rPr>
          <w:shd w:val="clear" w:color="auto" w:fill="FFFFFF"/>
        </w:rPr>
        <w:t>1</w:t>
      </w:r>
      <w:r w:rsidRPr="0028574C">
        <w:rPr>
          <w:shd w:val="clear" w:color="auto" w:fill="FFFFFF"/>
        </w:rPr>
        <w:t xml:space="preserve"> trong số các tỉnh, thành phố, trực thuộc Trung ương</w:t>
      </w:r>
      <w:r>
        <w:rPr>
          <w:shd w:val="clear" w:color="auto" w:fill="FFFFFF"/>
        </w:rPr>
        <w:t>, tăng 04 bậc so với năm 2017</w:t>
      </w:r>
      <w:r w:rsidRPr="0028574C">
        <w:rPr>
          <w:shd w:val="clear" w:color="auto" w:fill="FFFFFF"/>
        </w:rPr>
        <w:t xml:space="preserve">). </w:t>
      </w:r>
      <w:r>
        <w:rPr>
          <w:shd w:val="clear" w:color="auto" w:fill="FFFFFF"/>
        </w:rPr>
        <w:t xml:space="preserve"> </w:t>
      </w:r>
      <w:r w:rsidRPr="0028574C">
        <w:rPr>
          <w:shd w:val="clear" w:color="auto" w:fill="FFFFFF"/>
        </w:rPr>
        <w:t xml:space="preserve">Lý do </w:t>
      </w:r>
      <w:r>
        <w:rPr>
          <w:shd w:val="clear" w:color="auto" w:fill="FFFFFF"/>
        </w:rPr>
        <w:t>trừ điểm.</w:t>
      </w:r>
    </w:p>
    <w:p w:rsidR="005D1767" w:rsidRPr="00166DCE" w:rsidRDefault="005D1767">
      <w:pPr>
        <w:spacing w:before="60"/>
        <w:ind w:firstLine="709"/>
        <w:jc w:val="both"/>
        <w:rPr>
          <w:i/>
          <w:shd w:val="clear" w:color="auto" w:fill="FFFFFF"/>
        </w:rPr>
      </w:pPr>
      <w:r w:rsidRPr="00166DCE">
        <w:rPr>
          <w:i/>
          <w:shd w:val="clear" w:color="auto" w:fill="FFFFFF"/>
        </w:rPr>
        <w:t xml:space="preserve">Tiêu chí: Đánh giá tác động (qua khảo sát điều tra xã hội học) </w:t>
      </w:r>
      <w:r w:rsidRPr="00166DCE">
        <w:rPr>
          <w:bCs/>
          <w:i/>
        </w:rPr>
        <w:t>của cải cách chất lượng VBQPPL do tỉnh ban hành</w:t>
      </w:r>
      <w:r>
        <w:rPr>
          <w:bCs/>
          <w:i/>
        </w:rPr>
        <w:t xml:space="preserve"> (điều tra xã hội học): 3,65/5 điểm</w:t>
      </w:r>
      <w:r w:rsidRPr="00166DCE">
        <w:rPr>
          <w:bCs/>
          <w:i/>
        </w:rPr>
        <w:t>.</w:t>
      </w:r>
    </w:p>
    <w:p w:rsidR="005D1767" w:rsidRPr="00166DCE" w:rsidRDefault="005D1767">
      <w:pPr>
        <w:spacing w:before="60"/>
        <w:ind w:firstLine="709"/>
        <w:jc w:val="both"/>
        <w:rPr>
          <w:shd w:val="clear" w:color="auto" w:fill="FFFFFF"/>
        </w:rPr>
      </w:pPr>
      <w:r w:rsidRPr="0028574C">
        <w:rPr>
          <w:b/>
          <w:shd w:val="clear" w:color="auto" w:fill="FFFFFF"/>
        </w:rPr>
        <w:t>3</w:t>
      </w:r>
      <w:r w:rsidRPr="0028574C">
        <w:rPr>
          <w:shd w:val="clear" w:color="auto" w:fill="FFFFFF"/>
        </w:rPr>
        <w:t xml:space="preserve">. </w:t>
      </w:r>
      <w:r w:rsidRPr="0028574C">
        <w:rPr>
          <w:b/>
          <w:shd w:val="clear" w:color="auto" w:fill="FFFFFF"/>
        </w:rPr>
        <w:t>Cải cách thủ tục hành chính: 11,4</w:t>
      </w:r>
      <w:r>
        <w:rPr>
          <w:b/>
          <w:shd w:val="clear" w:color="auto" w:fill="FFFFFF"/>
        </w:rPr>
        <w:t>1/13</w:t>
      </w:r>
      <w:r w:rsidRPr="0028574C">
        <w:rPr>
          <w:b/>
          <w:shd w:val="clear" w:color="auto" w:fill="FFFFFF"/>
        </w:rPr>
        <w:t xml:space="preserve"> điểm</w:t>
      </w:r>
      <w:r w:rsidRPr="0028574C">
        <w:rPr>
          <w:shd w:val="clear" w:color="auto" w:fill="FFFFFF"/>
        </w:rPr>
        <w:t xml:space="preserve"> (xếp thứ </w:t>
      </w:r>
      <w:r>
        <w:rPr>
          <w:shd w:val="clear" w:color="auto" w:fill="FFFFFF"/>
        </w:rPr>
        <w:t xml:space="preserve">26 </w:t>
      </w:r>
      <w:r w:rsidRPr="0028574C">
        <w:rPr>
          <w:shd w:val="clear" w:color="auto" w:fill="FFFFFF"/>
        </w:rPr>
        <w:t>trong số các tỉnh, thành phố trực thuộc Trung ương</w:t>
      </w:r>
      <w:r>
        <w:rPr>
          <w:shd w:val="clear" w:color="auto" w:fill="FFFFFF"/>
        </w:rPr>
        <w:t>, tăng 25 bậc so với năm 2017</w:t>
      </w:r>
      <w:r w:rsidRPr="0028574C">
        <w:rPr>
          <w:shd w:val="clear" w:color="auto" w:fill="FFFFFF"/>
        </w:rPr>
        <w:t>).</w:t>
      </w:r>
      <w:r>
        <w:rPr>
          <w:shd w:val="clear" w:color="auto" w:fill="FFFFFF"/>
        </w:rPr>
        <w:t xml:space="preserve"> </w:t>
      </w:r>
      <w:r w:rsidRPr="0028574C">
        <w:rPr>
          <w:bCs/>
        </w:rPr>
        <w:t xml:space="preserve">Lý do trừ điểm: </w:t>
      </w:r>
    </w:p>
    <w:p w:rsidR="005D1767" w:rsidRPr="00166DCE" w:rsidRDefault="005D1767">
      <w:pPr>
        <w:spacing w:before="60"/>
        <w:ind w:firstLine="709"/>
        <w:jc w:val="both"/>
        <w:rPr>
          <w:bCs/>
          <w:i/>
        </w:rPr>
      </w:pPr>
      <w:r w:rsidRPr="00F51058">
        <w:rPr>
          <w:bCs/>
          <w:i/>
        </w:rPr>
        <w:t>- Tiêu chí: Tỷ lệ CQCM cấp tỉnh và ĐVHC cấp huyện, cấp xã công khai TTHC đầy đủ, đúng quy định tại nơi tiếp nhận, giải quyết TTHC: 0,5/1 điểm, lý do trừ điểm:</w:t>
      </w:r>
      <w:r>
        <w:rPr>
          <w:bCs/>
          <w:i/>
        </w:rPr>
        <w:t xml:space="preserve"> </w:t>
      </w:r>
      <w:r w:rsidRPr="00907B48">
        <w:rPr>
          <w:shd w:val="clear" w:color="auto" w:fill="FFFFFF"/>
        </w:rPr>
        <w:t xml:space="preserve">Còn một số địa phương niêm yết TTHC chưa đầy đủ, chưa đúng quy định, nhất là ở cấp xã (ví dụ kết quả kiểm tra CCHC của tỉnh tại huyện Vũ Quang). </w:t>
      </w:r>
    </w:p>
    <w:p w:rsidR="005D1767" w:rsidRPr="00166DCE" w:rsidRDefault="005D1767">
      <w:pPr>
        <w:spacing w:before="60"/>
        <w:ind w:firstLine="709"/>
        <w:jc w:val="both"/>
        <w:rPr>
          <w:bCs/>
          <w:i/>
        </w:rPr>
      </w:pPr>
      <w:r w:rsidRPr="00DB2295">
        <w:rPr>
          <w:i/>
          <w:shd w:val="clear" w:color="auto" w:fill="FFFFFF"/>
        </w:rPr>
        <w:t xml:space="preserve">-  Tiêu chí: </w:t>
      </w:r>
      <w:r w:rsidRPr="00DB2295">
        <w:rPr>
          <w:bCs/>
          <w:i/>
        </w:rPr>
        <w:t>Công khai TTHC trên Cổng thông tin điện tử (TTĐT) của tỉnh và Trang T</w:t>
      </w:r>
      <w:r>
        <w:rPr>
          <w:bCs/>
          <w:i/>
        </w:rPr>
        <w:t>TĐT của các cơ quan, đơn vị: 0/0,75 điểm,</w:t>
      </w:r>
      <w:r w:rsidRPr="00DB2295">
        <w:rPr>
          <w:bCs/>
          <w:i/>
        </w:rPr>
        <w:t>lý do trừ điểm:</w:t>
      </w:r>
      <w:r>
        <w:rPr>
          <w:bCs/>
          <w:i/>
        </w:rPr>
        <w:t xml:space="preserve"> </w:t>
      </w:r>
      <w:r w:rsidRPr="00DB2295">
        <w:rPr>
          <w:iCs/>
        </w:rPr>
        <w:t xml:space="preserve">Kiểm tra </w:t>
      </w:r>
      <w:r w:rsidRPr="00DB2295">
        <w:rPr>
          <w:iCs/>
        </w:rPr>
        <w:lastRenderedPageBreak/>
        <w:t xml:space="preserve">trực tiếp trên Cổng dịch vụ công của tỉnh (28/3/2019), Sở NN&amp;PTNT chưa cập nhật đầy đủ TTHC trên Cổng DVC. Ví dụ: </w:t>
      </w:r>
      <w:r w:rsidR="008B2FE7" w:rsidRPr="00DB2295">
        <w:rPr>
          <w:iCs/>
        </w:rPr>
        <w:t>T</w:t>
      </w:r>
      <w:r w:rsidR="008B2FE7">
        <w:rPr>
          <w:iCs/>
        </w:rPr>
        <w:t>hủ tục c</w:t>
      </w:r>
      <w:r w:rsidR="008B2FE7" w:rsidRPr="00DB2295">
        <w:rPr>
          <w:iCs/>
        </w:rPr>
        <w:t xml:space="preserve">ấp </w:t>
      </w:r>
      <w:r w:rsidRPr="00DB2295">
        <w:rPr>
          <w:iCs/>
        </w:rPr>
        <w:t xml:space="preserve">phép khai thác chính gỗ rừng tự nhiên, vẫn còn dẫn chiếu đến các mẫu đơn, tờ khai và quy định TTHC hết </w:t>
      </w:r>
      <w:r w:rsidR="008B2FE7" w:rsidRPr="00DB2295">
        <w:rPr>
          <w:iCs/>
        </w:rPr>
        <w:t>hiệ</w:t>
      </w:r>
      <w:r w:rsidR="008B2FE7">
        <w:rPr>
          <w:iCs/>
        </w:rPr>
        <w:t>u</w:t>
      </w:r>
      <w:r w:rsidR="008B2FE7" w:rsidRPr="00DB2295">
        <w:rPr>
          <w:iCs/>
        </w:rPr>
        <w:t xml:space="preserve"> </w:t>
      </w:r>
      <w:r w:rsidRPr="00DB2295">
        <w:rPr>
          <w:iCs/>
        </w:rPr>
        <w:t xml:space="preserve">lực, như </w:t>
      </w:r>
      <w:r w:rsidR="008B2FE7" w:rsidRPr="00DB2295">
        <w:rPr>
          <w:iCs/>
        </w:rPr>
        <w:t>T</w:t>
      </w:r>
      <w:r w:rsidR="008B2FE7">
        <w:rPr>
          <w:iCs/>
        </w:rPr>
        <w:t>hông tư</w:t>
      </w:r>
      <w:r w:rsidR="008B2FE7" w:rsidRPr="00DB2295">
        <w:rPr>
          <w:iCs/>
        </w:rPr>
        <w:t xml:space="preserve"> </w:t>
      </w:r>
      <w:r w:rsidRPr="00DB2295">
        <w:rPr>
          <w:iCs/>
        </w:rPr>
        <w:t>số 21/2016</w:t>
      </w:r>
      <w:r w:rsidR="008B2FE7">
        <w:rPr>
          <w:iCs/>
        </w:rPr>
        <w:t>/TT-BNNPTNT</w:t>
      </w:r>
      <w:r w:rsidRPr="00DB2295">
        <w:rPr>
          <w:iCs/>
        </w:rPr>
        <w:t xml:space="preserve"> của Bộ NN</w:t>
      </w:r>
      <w:r w:rsidR="008B2FE7">
        <w:rPr>
          <w:iCs/>
        </w:rPr>
        <w:t>&amp;</w:t>
      </w:r>
      <w:r w:rsidRPr="00DB2295">
        <w:rPr>
          <w:iCs/>
        </w:rPr>
        <w:t>PTNT, ngoài ra còn nhiều TTHC khác.</w:t>
      </w:r>
    </w:p>
    <w:p w:rsidR="005D1767" w:rsidRPr="00166DCE" w:rsidRDefault="005D1767">
      <w:pPr>
        <w:spacing w:before="60"/>
        <w:ind w:firstLine="709"/>
        <w:jc w:val="both"/>
        <w:rPr>
          <w:bCs/>
          <w:i/>
        </w:rPr>
      </w:pPr>
      <w:r w:rsidRPr="00DB2295">
        <w:rPr>
          <w:i/>
          <w:iCs/>
        </w:rPr>
        <w:t xml:space="preserve">- Tiêu chí: </w:t>
      </w:r>
      <w:r w:rsidRPr="00DB2295">
        <w:rPr>
          <w:bCs/>
          <w:i/>
        </w:rPr>
        <w:t>Công khai tiến độ, kết quả giải quyết hồ sơ TTHC trên Cổng TTĐT hoặc Cổng dịch vụ công của tỉnh: 0,5/0,75 điểm, lý do trừ điểm:</w:t>
      </w:r>
      <w:r>
        <w:rPr>
          <w:bCs/>
          <w:i/>
        </w:rPr>
        <w:t xml:space="preserve"> </w:t>
      </w:r>
      <w:r w:rsidRPr="00DB2295">
        <w:rPr>
          <w:iCs/>
        </w:rPr>
        <w:t xml:space="preserve">Kết quả công khai của các huyện Nghi Xuân và Hương khê đều không đầy đủ đối với cấp xã, số liệu vẫn chỉ có tháng 10, 11, 12 và </w:t>
      </w:r>
      <w:r w:rsidR="008B2FE7">
        <w:rPr>
          <w:iCs/>
        </w:rPr>
        <w:t>0</w:t>
      </w:r>
      <w:r w:rsidRPr="00DB2295">
        <w:rPr>
          <w:iCs/>
        </w:rPr>
        <w:t xml:space="preserve">3 tháng đầu năm 2019.  </w:t>
      </w:r>
    </w:p>
    <w:p w:rsidR="005D1767" w:rsidRPr="00DB2295" w:rsidRDefault="005D1767">
      <w:pPr>
        <w:spacing w:before="60"/>
        <w:ind w:firstLine="709"/>
        <w:jc w:val="both"/>
        <w:rPr>
          <w:i/>
          <w:iCs/>
        </w:rPr>
      </w:pPr>
      <w:r w:rsidRPr="00DB2295">
        <w:rPr>
          <w:i/>
          <w:iCs/>
        </w:rPr>
        <w:t xml:space="preserve">- </w:t>
      </w:r>
      <w:r>
        <w:rPr>
          <w:i/>
          <w:iCs/>
        </w:rPr>
        <w:t xml:space="preserve">Tiêu chí: </w:t>
      </w:r>
      <w:r w:rsidRPr="00DB2295">
        <w:rPr>
          <w:i/>
          <w:iCs/>
        </w:rPr>
        <w:t>Kết quả giải quyết TTHC: 4,41/4,5 điểm, lý do trừ điểm</w:t>
      </w:r>
      <w:r>
        <w:rPr>
          <w:i/>
          <w:iCs/>
        </w:rPr>
        <w:t>:</w:t>
      </w:r>
    </w:p>
    <w:p w:rsidR="005D1767" w:rsidRPr="00361AD9" w:rsidRDefault="005D1767">
      <w:pPr>
        <w:spacing w:before="60"/>
        <w:ind w:firstLine="709"/>
        <w:jc w:val="both"/>
        <w:rPr>
          <w:iCs/>
        </w:rPr>
      </w:pPr>
      <w:r w:rsidRPr="00361AD9">
        <w:rPr>
          <w:bCs/>
        </w:rPr>
        <w:t>+ Tỷ lệ hồ sơ TTHC do cơ quan chuyên môn cấp tỉnh tiếp nhận trong năm được giải quyết đúng hạn đạt 1,466/1,5 điểm (</w:t>
      </w:r>
      <w:r w:rsidRPr="00361AD9">
        <w:rPr>
          <w:iCs/>
        </w:rPr>
        <w:t>Tỷ lệ đạt: 76041/77774 = 97,7717489% ).</w:t>
      </w:r>
    </w:p>
    <w:p w:rsidR="005D1767" w:rsidRPr="00361AD9" w:rsidRDefault="005D1767">
      <w:pPr>
        <w:spacing w:before="60"/>
        <w:ind w:firstLine="709"/>
        <w:jc w:val="both"/>
        <w:rPr>
          <w:iCs/>
        </w:rPr>
      </w:pPr>
      <w:r w:rsidRPr="00361AD9">
        <w:rPr>
          <w:iCs/>
        </w:rPr>
        <w:t xml:space="preserve">+ </w:t>
      </w:r>
      <w:r w:rsidRPr="00361AD9">
        <w:rPr>
          <w:bCs/>
        </w:rPr>
        <w:t>Tỷ lệ hồ sơ TTHC do UBND cấp huyện tiếp nhận trong năm được giải quyết đúng hạn: 1,45/1,5 điểm (t</w:t>
      </w:r>
      <w:r w:rsidRPr="00361AD9">
        <w:rPr>
          <w:iCs/>
        </w:rPr>
        <w:t>ỷ lệ đạt: 115863/119649 = 96,8357445%).</w:t>
      </w:r>
    </w:p>
    <w:p w:rsidR="005D1767" w:rsidRPr="003F5879" w:rsidRDefault="005D1767">
      <w:pPr>
        <w:spacing w:before="60"/>
        <w:ind w:firstLine="709"/>
        <w:jc w:val="both"/>
        <w:rPr>
          <w:iCs/>
        </w:rPr>
      </w:pPr>
      <w:r w:rsidRPr="003F5879">
        <w:rPr>
          <w:bCs/>
        </w:rPr>
        <w:t>+ Tỷ lệ hồ sơ TTHC do UBND cấp xã tiếp nhận trong năm được giải quyết đúng hạn</w:t>
      </w:r>
      <w:r w:rsidRPr="003F5879">
        <w:rPr>
          <w:b/>
          <w:iCs/>
        </w:rPr>
        <w:t xml:space="preserve"> </w:t>
      </w:r>
      <w:r w:rsidRPr="003F5879">
        <w:rPr>
          <w:iCs/>
        </w:rPr>
        <w:t xml:space="preserve">0,99/1 điểm </w:t>
      </w:r>
      <w:r>
        <w:rPr>
          <w:iCs/>
        </w:rPr>
        <w:t>(</w:t>
      </w:r>
      <w:r w:rsidRPr="003F5879">
        <w:rPr>
          <w:iCs/>
        </w:rPr>
        <w:t xml:space="preserve">tỷ lệ </w:t>
      </w:r>
      <w:r>
        <w:rPr>
          <w:iCs/>
        </w:rPr>
        <w:t>đạt 671436/675905 = 99,3388124%)</w:t>
      </w:r>
    </w:p>
    <w:p w:rsidR="005D1767" w:rsidRPr="003F5879" w:rsidRDefault="005D1767">
      <w:pPr>
        <w:spacing w:before="60"/>
        <w:ind w:firstLine="709"/>
        <w:jc w:val="both"/>
        <w:rPr>
          <w:shd w:val="clear" w:color="auto" w:fill="FFFFFF"/>
        </w:rPr>
      </w:pPr>
      <w:r w:rsidRPr="003F5879">
        <w:rPr>
          <w:b/>
          <w:iCs/>
        </w:rPr>
        <w:t>4. C</w:t>
      </w:r>
      <w:r w:rsidRPr="003F5879">
        <w:rPr>
          <w:b/>
          <w:shd w:val="clear" w:color="auto" w:fill="FFFFFF"/>
        </w:rPr>
        <w:t>ải cách tổ chức bộ máy: 9,24/12 điểm</w:t>
      </w:r>
      <w:r w:rsidRPr="003F5879">
        <w:rPr>
          <w:shd w:val="clear" w:color="auto" w:fill="FFFFFF"/>
        </w:rPr>
        <w:t xml:space="preserve"> (xếp thứ 20 trong số các tỉnh, thành phố trực thuộc Trung ương</w:t>
      </w:r>
      <w:r>
        <w:rPr>
          <w:shd w:val="clear" w:color="auto" w:fill="FFFFFF"/>
        </w:rPr>
        <w:t xml:space="preserve">, </w:t>
      </w:r>
      <w:r w:rsidRPr="00904D8F">
        <w:rPr>
          <w:shd w:val="clear" w:color="auto" w:fill="FFFFFF"/>
        </w:rPr>
        <w:t xml:space="preserve">giảm </w:t>
      </w:r>
      <w:r w:rsidR="008B2FE7">
        <w:rPr>
          <w:shd w:val="clear" w:color="auto" w:fill="FFFFFF"/>
        </w:rPr>
        <w:t>0</w:t>
      </w:r>
      <w:r w:rsidRPr="00904D8F">
        <w:rPr>
          <w:shd w:val="clear" w:color="auto" w:fill="FFFFFF"/>
        </w:rPr>
        <w:t>7 bậc so với năm 2017).</w:t>
      </w:r>
      <w:r>
        <w:rPr>
          <w:shd w:val="clear" w:color="auto" w:fill="FFFFFF"/>
        </w:rPr>
        <w:t xml:space="preserve"> L</w:t>
      </w:r>
      <w:r w:rsidRPr="003F5879">
        <w:rPr>
          <w:shd w:val="clear" w:color="auto" w:fill="FFFFFF"/>
        </w:rPr>
        <w:t>ý do trừ điểm:</w:t>
      </w:r>
    </w:p>
    <w:p w:rsidR="005D1767" w:rsidRPr="003F5879" w:rsidRDefault="005D1767">
      <w:pPr>
        <w:spacing w:before="60"/>
        <w:ind w:firstLine="709"/>
        <w:jc w:val="both"/>
        <w:rPr>
          <w:shd w:val="clear" w:color="auto" w:fill="FFFFFF"/>
        </w:rPr>
      </w:pPr>
      <w:r w:rsidRPr="003F5879">
        <w:rPr>
          <w:bCs/>
          <w:i/>
        </w:rPr>
        <w:t>- Tiêu chí: Thực hiện quy định về cơ cấu số lượng lãnh đạo tại các cơ quan hành chính: 0,5/1,5 điểm, lý d</w:t>
      </w:r>
      <w:r>
        <w:rPr>
          <w:bCs/>
          <w:i/>
        </w:rPr>
        <w:t xml:space="preserve">o trừ điểm: </w:t>
      </w:r>
      <w:r w:rsidRPr="003F5879">
        <w:rPr>
          <w:iCs/>
        </w:rPr>
        <w:t>Cơ quan chuyên môn còn vượt cấp phó, nhiều phòng chuyên môn thuộc sở, ngành có cơ cấu chưa hợp lý như Sở Công Thương, Sở Ngoại vụ.</w:t>
      </w:r>
    </w:p>
    <w:p w:rsidR="005D1767" w:rsidRPr="000F5E56" w:rsidRDefault="005D1767">
      <w:pPr>
        <w:spacing w:before="60"/>
        <w:ind w:firstLine="709"/>
        <w:jc w:val="both"/>
        <w:rPr>
          <w:bCs/>
          <w:i/>
        </w:rPr>
      </w:pPr>
      <w:r w:rsidRPr="003F5879">
        <w:rPr>
          <w:bCs/>
          <w:i/>
        </w:rPr>
        <w:t xml:space="preserve">- Tiêu chí: Tỷ lệ giảm số lượng đơn vị sự nghiệp công lập so với năm 2015: 0,46/1 điểm), lý do trừ điểm: </w:t>
      </w:r>
      <w:r w:rsidRPr="003F5879">
        <w:rPr>
          <w:iCs/>
        </w:rPr>
        <w:t>Tổng số đơn vị sự nghiệp công lập t</w:t>
      </w:r>
      <w:r>
        <w:rPr>
          <w:iCs/>
        </w:rPr>
        <w:t>rên địa bàn tỉnh năm 2015: 926;</w:t>
      </w:r>
      <w:r w:rsidRPr="003F5879">
        <w:rPr>
          <w:iCs/>
        </w:rPr>
        <w:t xml:space="preserve"> Tổng số đơn vị sự nghiệp công lập tr</w:t>
      </w:r>
      <w:r>
        <w:rPr>
          <w:iCs/>
        </w:rPr>
        <w:t>ên địa bàn tỉnh năm 2018: 883.</w:t>
      </w:r>
      <w:r w:rsidRPr="003F5879">
        <w:rPr>
          <w:iCs/>
        </w:rPr>
        <w:t xml:space="preserve"> Số đơn vị sự nghiệp cô</w:t>
      </w:r>
      <w:r>
        <w:rPr>
          <w:iCs/>
        </w:rPr>
        <w:t xml:space="preserve">ng lập đã giảm: 43, chiếm 4,64% </w:t>
      </w:r>
      <w:r w:rsidRPr="00D15CE1">
        <w:rPr>
          <w:i/>
          <w:iCs/>
        </w:rPr>
        <w:t>(Bộ chỉ số quy định đạt 10% thì điểm tối đa: 01 điểm</w:t>
      </w:r>
      <w:r>
        <w:rPr>
          <w:iCs/>
        </w:rPr>
        <w:t>)</w:t>
      </w:r>
    </w:p>
    <w:p w:rsidR="005D1767" w:rsidRPr="003F5879" w:rsidRDefault="005D1767">
      <w:pPr>
        <w:spacing w:before="60"/>
        <w:ind w:firstLine="709"/>
        <w:jc w:val="both"/>
        <w:rPr>
          <w:shd w:val="clear" w:color="auto" w:fill="FFFFFF"/>
        </w:rPr>
      </w:pPr>
      <w:r w:rsidRPr="003F5879">
        <w:rPr>
          <w:i/>
          <w:iCs/>
        </w:rPr>
        <w:t xml:space="preserve">- Tiêu chí: </w:t>
      </w:r>
      <w:r w:rsidRPr="003F5879">
        <w:rPr>
          <w:bCs/>
          <w:i/>
        </w:rPr>
        <w:t>Tác động của cải cách đến tổ chức bộ máy hành chính</w:t>
      </w:r>
      <w:r>
        <w:rPr>
          <w:bCs/>
          <w:i/>
        </w:rPr>
        <w:t xml:space="preserve"> (điều tra xã hội học)</w:t>
      </w:r>
      <w:r w:rsidRPr="003F5879">
        <w:rPr>
          <w:bCs/>
          <w:i/>
        </w:rPr>
        <w:t xml:space="preserve">: </w:t>
      </w:r>
      <w:r w:rsidRPr="003F5879">
        <w:rPr>
          <w:i/>
          <w:iCs/>
        </w:rPr>
        <w:t>3,27</w:t>
      </w:r>
      <w:r w:rsidRPr="003F5879">
        <w:rPr>
          <w:bCs/>
          <w:i/>
        </w:rPr>
        <w:t>/4,5 điểm</w:t>
      </w:r>
      <w:r w:rsidRPr="003F5879">
        <w:rPr>
          <w:shd w:val="clear" w:color="auto" w:fill="FFFFFF"/>
        </w:rPr>
        <w:t>.</w:t>
      </w:r>
    </w:p>
    <w:p w:rsidR="005D1767" w:rsidRDefault="005D1767">
      <w:pPr>
        <w:spacing w:before="60"/>
        <w:ind w:firstLine="709"/>
        <w:jc w:val="both"/>
        <w:rPr>
          <w:shd w:val="clear" w:color="auto" w:fill="FFFFFF"/>
        </w:rPr>
      </w:pPr>
      <w:r w:rsidRPr="00F438AA">
        <w:rPr>
          <w:b/>
          <w:shd w:val="clear" w:color="auto" w:fill="FFFFFF"/>
        </w:rPr>
        <w:tab/>
        <w:t>5.</w:t>
      </w:r>
      <w:r w:rsidRPr="0028574C">
        <w:rPr>
          <w:shd w:val="clear" w:color="auto" w:fill="FFFFFF"/>
        </w:rPr>
        <w:t xml:space="preserve"> </w:t>
      </w:r>
      <w:r w:rsidRPr="0028574C">
        <w:rPr>
          <w:b/>
          <w:shd w:val="clear" w:color="auto" w:fill="FFFFFF"/>
        </w:rPr>
        <w:t>Xây dựng và nâng cao chất lượng c</w:t>
      </w:r>
      <w:r>
        <w:rPr>
          <w:b/>
          <w:shd w:val="clear" w:color="auto" w:fill="FFFFFF"/>
        </w:rPr>
        <w:t>án bộ, công chức, viên chức: 10,63/13,5</w:t>
      </w:r>
      <w:r w:rsidRPr="0028574C">
        <w:rPr>
          <w:b/>
          <w:shd w:val="clear" w:color="auto" w:fill="FFFFFF"/>
        </w:rPr>
        <w:t xml:space="preserve"> điểm</w:t>
      </w:r>
      <w:r w:rsidRPr="0028574C">
        <w:rPr>
          <w:shd w:val="clear" w:color="auto" w:fill="FFFFFF"/>
        </w:rPr>
        <w:t xml:space="preserve"> (xếp thứ </w:t>
      </w:r>
      <w:r>
        <w:rPr>
          <w:shd w:val="clear" w:color="auto" w:fill="FFFFFF"/>
        </w:rPr>
        <w:t>2</w:t>
      </w:r>
      <w:r w:rsidRPr="0028574C">
        <w:rPr>
          <w:shd w:val="clear" w:color="auto" w:fill="FFFFFF"/>
        </w:rPr>
        <w:t>7 trong số các tỉnh, t</w:t>
      </w:r>
      <w:r>
        <w:rPr>
          <w:shd w:val="clear" w:color="auto" w:fill="FFFFFF"/>
        </w:rPr>
        <w:t xml:space="preserve">hành phố trực thuộc Trung ương, </w:t>
      </w:r>
      <w:r w:rsidRPr="00D15CE1">
        <w:rPr>
          <w:shd w:val="clear" w:color="auto" w:fill="FFFFFF"/>
        </w:rPr>
        <w:t>giảm 20 bậc so với năm 2017</w:t>
      </w:r>
      <w:r>
        <w:rPr>
          <w:shd w:val="clear" w:color="auto" w:fill="FFFFFF"/>
        </w:rPr>
        <w:t xml:space="preserve">. </w:t>
      </w:r>
      <w:r w:rsidRPr="0028574C">
        <w:rPr>
          <w:shd w:val="clear" w:color="auto" w:fill="FFFFFF"/>
        </w:rPr>
        <w:t>Lý do trừ điểm:</w:t>
      </w:r>
    </w:p>
    <w:p w:rsidR="005D1767" w:rsidRPr="000A2F6D" w:rsidRDefault="005D1767">
      <w:pPr>
        <w:spacing w:before="60"/>
        <w:ind w:firstLine="709"/>
        <w:jc w:val="both"/>
        <w:rPr>
          <w:iCs/>
        </w:rPr>
      </w:pPr>
      <w:r>
        <w:rPr>
          <w:bCs/>
          <w:i/>
        </w:rPr>
        <w:t xml:space="preserve">- </w:t>
      </w:r>
      <w:r w:rsidRPr="00C450C6">
        <w:rPr>
          <w:bCs/>
          <w:i/>
        </w:rPr>
        <w:t>Tiêu chí: Tỷ lệ đơn vị sự nghiệp thuộc tỉnh bố trí viên chức theo đúng vị trí việc làm được phê duyệt: 0/1 điểm, lý do trừ điểm</w:t>
      </w:r>
      <w:r w:rsidR="00F57DA6">
        <w:rPr>
          <w:bCs/>
          <w:i/>
        </w:rPr>
        <w:t>:</w:t>
      </w:r>
      <w:r w:rsidR="00F57DA6">
        <w:rPr>
          <w:iCs/>
        </w:rPr>
        <w:t xml:space="preserve"> </w:t>
      </w:r>
      <w:r w:rsidRPr="000A2F6D">
        <w:rPr>
          <w:iCs/>
        </w:rPr>
        <w:t>Hà Tĩnh chưa được Bộ Nội vụ phê duyệt vị trí việc làm đơn vị sự nghiệp công lập</w:t>
      </w:r>
      <w:r>
        <w:rPr>
          <w:iCs/>
        </w:rPr>
        <w:t>.</w:t>
      </w:r>
    </w:p>
    <w:p w:rsidR="005D1767" w:rsidRPr="00166DCE" w:rsidRDefault="005D1767">
      <w:pPr>
        <w:spacing w:before="60"/>
        <w:ind w:firstLine="709"/>
        <w:jc w:val="both"/>
        <w:rPr>
          <w:bCs/>
          <w:i/>
        </w:rPr>
      </w:pPr>
      <w:r w:rsidRPr="00A603F5">
        <w:rPr>
          <w:bCs/>
          <w:i/>
        </w:rPr>
        <w:t>- Tiêu chí: Chấp hành kỷ luật, kỷ cương hành chính của cán bộ, công chức, viên chức: 0/0,5 điểm, lý do trừ điểm:</w:t>
      </w:r>
      <w:r>
        <w:rPr>
          <w:bCs/>
          <w:i/>
        </w:rPr>
        <w:t xml:space="preserve"> </w:t>
      </w:r>
      <w:r>
        <w:rPr>
          <w:iCs/>
        </w:rPr>
        <w:t xml:space="preserve">Có cán bộ, công chức, viên chức bị xử lý kỷ luật, cụ thể: </w:t>
      </w:r>
      <w:r w:rsidRPr="008274B6">
        <w:rPr>
          <w:iCs/>
        </w:rPr>
        <w:t>Cấp tỉnh, cấp huyện: công chức 15 người bị xử lý kỷ luật; 65 viên chức bị xử lý kỷ luật; cấp xã: 27 người bị xử lý kỷ luật</w:t>
      </w:r>
      <w:r>
        <w:rPr>
          <w:iCs/>
        </w:rPr>
        <w:t>.</w:t>
      </w:r>
    </w:p>
    <w:p w:rsidR="005D1767" w:rsidRPr="00DD3A32" w:rsidRDefault="005D1767">
      <w:pPr>
        <w:spacing w:before="60"/>
        <w:ind w:firstLine="709"/>
        <w:jc w:val="both"/>
        <w:rPr>
          <w:bCs/>
          <w:i/>
        </w:rPr>
      </w:pPr>
      <w:r w:rsidRPr="00DD3A32">
        <w:rPr>
          <w:bCs/>
          <w:i/>
        </w:rPr>
        <w:t>- Tiêu chí: Tác động của cải cách đến quản lý</w:t>
      </w:r>
      <w:r>
        <w:rPr>
          <w:bCs/>
          <w:i/>
        </w:rPr>
        <w:t xml:space="preserve"> cán bộ, công chức (điều tra xã hội học): 1,69/2 điểm. </w:t>
      </w:r>
    </w:p>
    <w:p w:rsidR="005D1767" w:rsidRPr="0028574C" w:rsidRDefault="005D1767">
      <w:pPr>
        <w:spacing w:before="60"/>
        <w:ind w:firstLine="709"/>
        <w:jc w:val="both"/>
        <w:rPr>
          <w:bCs/>
        </w:rPr>
      </w:pPr>
      <w:r>
        <w:rPr>
          <w:b/>
          <w:bCs/>
        </w:rPr>
        <w:lastRenderedPageBreak/>
        <w:t>6.  Cải cách tài chính công: 9,45/12,5</w:t>
      </w:r>
      <w:r w:rsidRPr="0028574C">
        <w:rPr>
          <w:b/>
          <w:bCs/>
        </w:rPr>
        <w:t xml:space="preserve"> điểm</w:t>
      </w:r>
      <w:r>
        <w:rPr>
          <w:bCs/>
        </w:rPr>
        <w:t xml:space="preserve"> (xếp thứ 28</w:t>
      </w:r>
      <w:r w:rsidRPr="0028574C">
        <w:rPr>
          <w:bCs/>
        </w:rPr>
        <w:t xml:space="preserve"> trong số các tỉnh, t</w:t>
      </w:r>
      <w:r>
        <w:rPr>
          <w:bCs/>
        </w:rPr>
        <w:t>hành phố trực thuộc Trung ương, tăng 13 bậc so với năm 2017). L</w:t>
      </w:r>
      <w:r w:rsidRPr="0028574C">
        <w:rPr>
          <w:bCs/>
        </w:rPr>
        <w:t xml:space="preserve">ý do trừ điểm: </w:t>
      </w:r>
    </w:p>
    <w:p w:rsidR="005D1767" w:rsidRPr="00844054" w:rsidRDefault="005D1767" w:rsidP="00B37736">
      <w:pPr>
        <w:spacing w:before="60"/>
        <w:ind w:firstLine="709"/>
        <w:jc w:val="both"/>
        <w:rPr>
          <w:iCs/>
        </w:rPr>
      </w:pPr>
      <w:r w:rsidRPr="00A07CB6">
        <w:rPr>
          <w:bCs/>
          <w:i/>
        </w:rPr>
        <w:t xml:space="preserve">- Tiêu chí: Thực hiện giải ngân kế hoạch đầu tư vốn ngân sách nhà nước hàng năm: 0,8/1 điểm, lý do trừ điểm: </w:t>
      </w:r>
      <w:r w:rsidR="00F57DA6">
        <w:rPr>
          <w:bCs/>
        </w:rPr>
        <w:t>T</w:t>
      </w:r>
      <w:r w:rsidR="00F57DA6" w:rsidRPr="00844054">
        <w:rPr>
          <w:bCs/>
        </w:rPr>
        <w:t xml:space="preserve">ỷ </w:t>
      </w:r>
      <w:r w:rsidRPr="00844054">
        <w:rPr>
          <w:bCs/>
        </w:rPr>
        <w:t xml:space="preserve">lệ giải ngân năm 2018 của tỉnh đạt </w:t>
      </w:r>
      <w:r w:rsidRPr="00844054">
        <w:rPr>
          <w:iCs/>
        </w:rPr>
        <w:t>72,5343%.</w:t>
      </w:r>
    </w:p>
    <w:p w:rsidR="005D1767" w:rsidRPr="00064961" w:rsidRDefault="005D1767" w:rsidP="008B2FE7">
      <w:pPr>
        <w:spacing w:before="60"/>
        <w:ind w:firstLine="709"/>
        <w:jc w:val="both"/>
        <w:rPr>
          <w:iCs/>
        </w:rPr>
      </w:pPr>
      <w:r w:rsidRPr="00A07CB6">
        <w:rPr>
          <w:i/>
          <w:iCs/>
        </w:rPr>
        <w:t xml:space="preserve">- Tiêu chí: </w:t>
      </w:r>
      <w:r w:rsidRPr="00A07CB6">
        <w:rPr>
          <w:bCs/>
          <w:i/>
        </w:rPr>
        <w:t xml:space="preserve">Tổ chức thực hiện các kiến nghị sau thanh tra, kiểm tra, kiểm toán nhà nước về tài chính, ngân sách: 0,5/1 điểm, lý do: </w:t>
      </w:r>
      <w:r w:rsidRPr="00064961">
        <w:rPr>
          <w:iCs/>
        </w:rPr>
        <w:t>Hà Tĩnh thực hiện đạt 93,9% (Tổng số tiền kiến nghị nộp NSNN: 37,646 triệu đồng. Số tiền đã thực hiện nộp NSNN: 35,331 triệu đồng).</w:t>
      </w:r>
    </w:p>
    <w:p w:rsidR="005D1767" w:rsidRPr="0078197A" w:rsidRDefault="005D1767" w:rsidP="008B2FE7">
      <w:pPr>
        <w:spacing w:before="60"/>
        <w:ind w:firstLine="709"/>
        <w:jc w:val="both"/>
        <w:rPr>
          <w:bCs/>
        </w:rPr>
      </w:pPr>
      <w:r w:rsidRPr="00A07CB6">
        <w:rPr>
          <w:i/>
          <w:iCs/>
        </w:rPr>
        <w:t xml:space="preserve">-  Tiêu chí: </w:t>
      </w:r>
      <w:r w:rsidRPr="00A07CB6">
        <w:rPr>
          <w:bCs/>
          <w:i/>
        </w:rPr>
        <w:t xml:space="preserve">Ban hành quy định về phân cấp quản lý tài sản công theo quy định của Luật Quản lý, sử dụng tài sản công: 0,25/0,5 điểm, lý do: </w:t>
      </w:r>
      <w:r w:rsidRPr="0078197A">
        <w:rPr>
          <w:bCs/>
        </w:rPr>
        <w:t>Ban hành muộn so với quy định.</w:t>
      </w:r>
    </w:p>
    <w:p w:rsidR="005D1767" w:rsidRPr="0078197A" w:rsidRDefault="005D1767" w:rsidP="00482844">
      <w:pPr>
        <w:spacing w:before="60"/>
        <w:ind w:firstLine="709"/>
        <w:jc w:val="both"/>
        <w:rPr>
          <w:bCs/>
        </w:rPr>
      </w:pPr>
      <w:r w:rsidRPr="00A07CB6">
        <w:rPr>
          <w:bCs/>
          <w:i/>
        </w:rPr>
        <w:t xml:space="preserve">- Tiêu chí: Ban hành tiêu chuẩn, định mức sử dụng diện tích chuyên dùng theo quy định tại Nghị định số 152/2017/NĐ-CP: 0/0,5 điểm, lý do: </w:t>
      </w:r>
      <w:r w:rsidRPr="0078197A">
        <w:rPr>
          <w:bCs/>
        </w:rPr>
        <w:t>Không ban hành.</w:t>
      </w:r>
    </w:p>
    <w:p w:rsidR="005D1767" w:rsidRPr="00064961" w:rsidRDefault="005D1767">
      <w:pPr>
        <w:spacing w:before="60"/>
        <w:ind w:firstLine="709"/>
        <w:jc w:val="both"/>
        <w:rPr>
          <w:bCs/>
        </w:rPr>
      </w:pPr>
      <w:r w:rsidRPr="00A07CB6">
        <w:rPr>
          <w:bCs/>
          <w:i/>
        </w:rPr>
        <w:t>- Tiêu chí: Ban hành tiêu chuẩn, định mức sử dụng máy móc, thiết bị chuyên dùng theo quy định tại Quyết định số 50/2017/QĐ-TTg: 0/0,5 điểm, lý do</w:t>
      </w:r>
      <w:r>
        <w:rPr>
          <w:bCs/>
          <w:i/>
        </w:rPr>
        <w:t>:</w:t>
      </w:r>
      <w:r w:rsidRPr="00A07CB6">
        <w:rPr>
          <w:bCs/>
          <w:i/>
        </w:rPr>
        <w:t xml:space="preserve"> </w:t>
      </w:r>
      <w:r w:rsidR="00F57DA6">
        <w:rPr>
          <w:bCs/>
        </w:rPr>
        <w:t>K</w:t>
      </w:r>
      <w:r w:rsidR="00F57DA6" w:rsidRPr="00064961">
        <w:rPr>
          <w:bCs/>
        </w:rPr>
        <w:t xml:space="preserve">hông </w:t>
      </w:r>
      <w:r w:rsidRPr="00064961">
        <w:rPr>
          <w:bCs/>
        </w:rPr>
        <w:t>ban hành.</w:t>
      </w:r>
    </w:p>
    <w:p w:rsidR="005D1767" w:rsidRPr="00A07CB6" w:rsidRDefault="005D1767">
      <w:pPr>
        <w:spacing w:before="60"/>
        <w:ind w:firstLine="709"/>
        <w:jc w:val="both"/>
        <w:rPr>
          <w:bCs/>
          <w:i/>
        </w:rPr>
      </w:pPr>
      <w:r w:rsidRPr="00A07CB6">
        <w:rPr>
          <w:bCs/>
          <w:i/>
        </w:rPr>
        <w:t>- Tác động của cải cách đến quản lý tài chính côn</w:t>
      </w:r>
      <w:r>
        <w:rPr>
          <w:bCs/>
          <w:i/>
        </w:rPr>
        <w:t>g (điều tra xã hội học)</w:t>
      </w:r>
      <w:r w:rsidRPr="00A07CB6">
        <w:rPr>
          <w:bCs/>
          <w:i/>
        </w:rPr>
        <w:t>: 2,9/4 đ</w:t>
      </w:r>
      <w:r>
        <w:rPr>
          <w:bCs/>
          <w:i/>
        </w:rPr>
        <w:t>iểm</w:t>
      </w:r>
      <w:r w:rsidRPr="00A07CB6">
        <w:rPr>
          <w:bCs/>
          <w:i/>
        </w:rPr>
        <w:t>.</w:t>
      </w:r>
    </w:p>
    <w:p w:rsidR="005D1767" w:rsidRDefault="005D1767">
      <w:pPr>
        <w:spacing w:before="60"/>
        <w:ind w:firstLine="709"/>
        <w:jc w:val="both"/>
        <w:rPr>
          <w:shd w:val="clear" w:color="auto" w:fill="FFFFFF"/>
        </w:rPr>
      </w:pPr>
      <w:r w:rsidRPr="00DD400D">
        <w:rPr>
          <w:b/>
          <w:shd w:val="clear" w:color="auto" w:fill="FFFFFF"/>
        </w:rPr>
        <w:t>7.</w:t>
      </w:r>
      <w:r w:rsidRPr="0028574C">
        <w:rPr>
          <w:shd w:val="clear" w:color="auto" w:fill="FFFFFF"/>
        </w:rPr>
        <w:t xml:space="preserve"> </w:t>
      </w:r>
      <w:r w:rsidRPr="0028574C">
        <w:rPr>
          <w:b/>
          <w:shd w:val="clear" w:color="auto" w:fill="FFFFFF"/>
        </w:rPr>
        <w:t>Hiện đại hó</w:t>
      </w:r>
      <w:r>
        <w:rPr>
          <w:b/>
          <w:shd w:val="clear" w:color="auto" w:fill="FFFFFF"/>
        </w:rPr>
        <w:t>a nền hành chính nhà nước: 8,4/13,5</w:t>
      </w:r>
      <w:r w:rsidRPr="0028574C">
        <w:rPr>
          <w:b/>
          <w:shd w:val="clear" w:color="auto" w:fill="FFFFFF"/>
        </w:rPr>
        <w:t xml:space="preserve"> điểm</w:t>
      </w:r>
      <w:r>
        <w:rPr>
          <w:shd w:val="clear" w:color="auto" w:fill="FFFFFF"/>
        </w:rPr>
        <w:t xml:space="preserve"> (xếp thứ 51</w:t>
      </w:r>
      <w:r w:rsidRPr="0028574C">
        <w:rPr>
          <w:shd w:val="clear" w:color="auto" w:fill="FFFFFF"/>
        </w:rPr>
        <w:t xml:space="preserve"> trong số các tỉnh, thành phố trực thuộc Trung ương</w:t>
      </w:r>
      <w:r>
        <w:rPr>
          <w:shd w:val="clear" w:color="auto" w:fill="FFFFFF"/>
        </w:rPr>
        <w:t>, giảm 27 bậc so với năm 2017</w:t>
      </w:r>
      <w:r w:rsidRPr="0028574C">
        <w:rPr>
          <w:shd w:val="clear" w:color="auto" w:fill="FFFFFF"/>
        </w:rPr>
        <w:t>).</w:t>
      </w:r>
      <w:r>
        <w:rPr>
          <w:shd w:val="clear" w:color="auto" w:fill="FFFFFF"/>
        </w:rPr>
        <w:t xml:space="preserve"> </w:t>
      </w:r>
      <w:r w:rsidRPr="0028574C">
        <w:rPr>
          <w:shd w:val="clear" w:color="auto" w:fill="FFFFFF"/>
        </w:rPr>
        <w:t xml:space="preserve">Lý do trừ điểm: </w:t>
      </w:r>
    </w:p>
    <w:p w:rsidR="005D1767" w:rsidRPr="00906F06" w:rsidRDefault="005D1767">
      <w:pPr>
        <w:spacing w:before="60"/>
        <w:ind w:firstLine="709"/>
        <w:jc w:val="both"/>
        <w:rPr>
          <w:bCs/>
        </w:rPr>
      </w:pPr>
      <w:r w:rsidRPr="00906F06">
        <w:rPr>
          <w:bCs/>
          <w:i/>
        </w:rPr>
        <w:t>- Tiêu chí: Xây dựng Cổng dịch vụ công: 0,5/1 điểm, lý do</w:t>
      </w:r>
      <w:r w:rsidR="00F57DA6">
        <w:rPr>
          <w:bCs/>
          <w:i/>
        </w:rPr>
        <w:t xml:space="preserve"> trừ điểm</w:t>
      </w:r>
      <w:r w:rsidRPr="00906F06">
        <w:rPr>
          <w:bCs/>
        </w:rPr>
        <w:t>:</w:t>
      </w:r>
      <w:r w:rsidR="00F57DA6">
        <w:rPr>
          <w:bCs/>
        </w:rPr>
        <w:t xml:space="preserve"> </w:t>
      </w:r>
      <w:r w:rsidRPr="00906F06">
        <w:rPr>
          <w:iCs/>
        </w:rPr>
        <w:t>Tỉnh đã có Cổng dịch vụ công, tuy nhiên, hiện chưa đủ căn cứ để đánh giá cổng dịch vụ công của tỉnh đã đáp ứng đầy đủ yêu cầu theo quyết định số 1697/QĐ-BTTTT.</w:t>
      </w:r>
    </w:p>
    <w:p w:rsidR="005D1767" w:rsidRPr="00906F06" w:rsidRDefault="005D1767">
      <w:pPr>
        <w:spacing w:before="60"/>
        <w:ind w:firstLine="709"/>
        <w:jc w:val="both"/>
        <w:rPr>
          <w:bCs/>
        </w:rPr>
      </w:pPr>
      <w:r w:rsidRPr="00354830">
        <w:rPr>
          <w:i/>
          <w:shd w:val="clear" w:color="auto" w:fill="FFFFFF"/>
        </w:rPr>
        <w:t xml:space="preserve">- Tiêu chí: </w:t>
      </w:r>
      <w:r w:rsidRPr="00354830">
        <w:rPr>
          <w:bCs/>
          <w:i/>
        </w:rPr>
        <w:t>Cung c</w:t>
      </w:r>
      <w:r>
        <w:rPr>
          <w:bCs/>
          <w:i/>
        </w:rPr>
        <w:t>ấp dịch vụ công trực tuyến: 0/2,</w:t>
      </w:r>
      <w:r w:rsidRPr="00354830">
        <w:rPr>
          <w:bCs/>
          <w:i/>
        </w:rPr>
        <w:t>25 điểm, lý do trừ điểm</w:t>
      </w:r>
      <w:r w:rsidRPr="00906F06">
        <w:rPr>
          <w:bCs/>
        </w:rPr>
        <w:t>:</w:t>
      </w:r>
    </w:p>
    <w:p w:rsidR="005D1767" w:rsidRPr="00906F06" w:rsidRDefault="005D1767">
      <w:pPr>
        <w:spacing w:before="60"/>
        <w:ind w:firstLine="709"/>
        <w:jc w:val="both"/>
        <w:rPr>
          <w:bCs/>
        </w:rPr>
      </w:pPr>
      <w:r w:rsidRPr="00906F06">
        <w:rPr>
          <w:bCs/>
        </w:rPr>
        <w:t xml:space="preserve">+ Tỷ lệ TTHC cung cấp trực tuyến mức độ 3, 4 có phát sinh hồ sơ trong năm: 0/0,25  (tỷ lệ </w:t>
      </w:r>
      <w:r w:rsidRPr="00906F06">
        <w:rPr>
          <w:iCs/>
        </w:rPr>
        <w:t>đạt 3,76%</w:t>
      </w:r>
      <w:r>
        <w:rPr>
          <w:iCs/>
        </w:rPr>
        <w:t>, quy định Trung ương</w:t>
      </w:r>
      <w:r w:rsidRPr="00906F06">
        <w:rPr>
          <w:bCs/>
        </w:rPr>
        <w:t>).</w:t>
      </w:r>
    </w:p>
    <w:p w:rsidR="005D1767" w:rsidRPr="00906F06" w:rsidRDefault="005D1767">
      <w:pPr>
        <w:spacing w:before="60"/>
        <w:ind w:firstLine="709"/>
        <w:jc w:val="both"/>
        <w:rPr>
          <w:iCs/>
        </w:rPr>
      </w:pPr>
      <w:r>
        <w:rPr>
          <w:bCs/>
        </w:rPr>
        <w:t>+</w:t>
      </w:r>
      <w:r w:rsidRPr="00906F06">
        <w:rPr>
          <w:bCs/>
        </w:rPr>
        <w:t xml:space="preserve"> Tỷ lệ hồ sơ TTHC được xử lý trực tuyến mức độ 3: 0/1 điểm (tỷ lệ </w:t>
      </w:r>
      <w:r w:rsidRPr="00906F06">
        <w:rPr>
          <w:iCs/>
        </w:rPr>
        <w:t>đạt 11</w:t>
      </w:r>
      <w:r>
        <w:rPr>
          <w:iCs/>
        </w:rPr>
        <w:t>,</w:t>
      </w:r>
      <w:r w:rsidRPr="00906F06">
        <w:rPr>
          <w:iCs/>
        </w:rPr>
        <w:t>3%)</w:t>
      </w:r>
      <w:r w:rsidR="00F57DA6">
        <w:rPr>
          <w:iCs/>
        </w:rPr>
        <w:t>.</w:t>
      </w:r>
    </w:p>
    <w:p w:rsidR="005D1767" w:rsidRPr="00906F06" w:rsidRDefault="005D1767">
      <w:pPr>
        <w:spacing w:before="60"/>
        <w:ind w:firstLine="709"/>
        <w:jc w:val="both"/>
        <w:rPr>
          <w:bCs/>
        </w:rPr>
      </w:pPr>
      <w:r>
        <w:rPr>
          <w:iCs/>
        </w:rPr>
        <w:t>+</w:t>
      </w:r>
      <w:r w:rsidRPr="00906F06">
        <w:rPr>
          <w:iCs/>
        </w:rPr>
        <w:t xml:space="preserve"> </w:t>
      </w:r>
      <w:r w:rsidRPr="00906F06">
        <w:rPr>
          <w:bCs/>
        </w:rPr>
        <w:t>Tỷ lệ hồ sơ TTHC được xử lý trực tuyến mức độ 4: 0/1 điểm (tỷ lệ đạt</w:t>
      </w:r>
      <w:r w:rsidRPr="00906F06">
        <w:rPr>
          <w:iCs/>
        </w:rPr>
        <w:t xml:space="preserve"> 0,09% (1310/13984).</w:t>
      </w:r>
    </w:p>
    <w:p w:rsidR="005D1767" w:rsidRDefault="005D1767">
      <w:pPr>
        <w:spacing w:before="60"/>
        <w:ind w:firstLine="709"/>
        <w:jc w:val="both"/>
        <w:rPr>
          <w:bCs/>
          <w:i/>
        </w:rPr>
      </w:pPr>
      <w:r w:rsidRPr="006F0377">
        <w:rPr>
          <w:i/>
        </w:rPr>
        <w:t xml:space="preserve">- Tiêu chí: </w:t>
      </w:r>
      <w:r w:rsidRPr="006F0377">
        <w:rPr>
          <w:bCs/>
          <w:i/>
        </w:rPr>
        <w:t xml:space="preserve">Thực hiện tiếp nhận hồ sơ, trả kết quả giải quyết TTHC qua dịch vụ bưu chính công ích (BCCI): 0,5/1,25 điểm, lý do trừ điểm: </w:t>
      </w:r>
    </w:p>
    <w:p w:rsidR="005D1767" w:rsidRDefault="005D1767">
      <w:pPr>
        <w:spacing w:before="60"/>
        <w:ind w:firstLine="709"/>
        <w:jc w:val="both"/>
        <w:rPr>
          <w:bCs/>
        </w:rPr>
      </w:pPr>
      <w:r w:rsidRPr="007D0201">
        <w:rPr>
          <w:bCs/>
        </w:rPr>
        <w:t>+ Tỷ lệ TTHC đã triển khai có phát sinh hồ sơ tiếp nhận/trả kết quả giải quyết qua dịch vụ BCCI: 0/0,25 điểm</w:t>
      </w:r>
      <w:r>
        <w:rPr>
          <w:bCs/>
        </w:rPr>
        <w:t xml:space="preserve"> (chỉ đạt 2,8%).</w:t>
      </w:r>
    </w:p>
    <w:p w:rsidR="005D1767" w:rsidRPr="00B85C8C" w:rsidRDefault="005D1767">
      <w:pPr>
        <w:spacing w:before="60"/>
        <w:ind w:firstLine="709"/>
        <w:jc w:val="both"/>
        <w:rPr>
          <w:i/>
        </w:rPr>
      </w:pPr>
      <w:r w:rsidRPr="00B85C8C">
        <w:rPr>
          <w:bCs/>
        </w:rPr>
        <w:t>+ Tỷ lệ hồ sơ TTHC được tiếp nhận qua dịch vụ BCCI: 0/0,5 điểm (chỉ đạt 0,4%).</w:t>
      </w:r>
    </w:p>
    <w:p w:rsidR="005D1767" w:rsidRPr="00B85C8C" w:rsidRDefault="005D1767">
      <w:pPr>
        <w:spacing w:before="60"/>
        <w:ind w:firstLine="709"/>
        <w:jc w:val="both"/>
        <w:rPr>
          <w:bCs/>
          <w:i/>
        </w:rPr>
      </w:pPr>
      <w:r w:rsidRPr="00B85C8C">
        <w:rPr>
          <w:bCs/>
          <w:i/>
        </w:rPr>
        <w:lastRenderedPageBreak/>
        <w:t xml:space="preserve">- Tiêu chí: Áp dụng Hệ thống quản lý chất lượng (ISO 9001) theo quy định: </w:t>
      </w:r>
      <w:r>
        <w:rPr>
          <w:bCs/>
          <w:i/>
        </w:rPr>
        <w:t>0,75/1,</w:t>
      </w:r>
      <w:r w:rsidRPr="00B85C8C">
        <w:rPr>
          <w:bCs/>
          <w:i/>
        </w:rPr>
        <w:t xml:space="preserve">5 điểm, lý do trừ điểm: </w:t>
      </w:r>
    </w:p>
    <w:p w:rsidR="005D1767" w:rsidRPr="00B85C8C" w:rsidRDefault="005D1767">
      <w:pPr>
        <w:spacing w:before="60"/>
        <w:ind w:firstLine="709"/>
        <w:jc w:val="both"/>
        <w:rPr>
          <w:iCs/>
        </w:rPr>
      </w:pPr>
      <w:r w:rsidRPr="00B85C8C">
        <w:rPr>
          <w:bCs/>
        </w:rPr>
        <w:t>+ Tỷ lệ đơn vị hành chính cấp xã công bố ISO 9001 theo quy định: 0/0,25 điểm (</w:t>
      </w:r>
      <w:r w:rsidRPr="00B85C8C">
        <w:rPr>
          <w:iCs/>
        </w:rPr>
        <w:t>đạt 42,4%).</w:t>
      </w:r>
    </w:p>
    <w:p w:rsidR="005D1767" w:rsidRPr="00B85C8C" w:rsidRDefault="005D1767">
      <w:pPr>
        <w:spacing w:before="60"/>
        <w:ind w:firstLine="709"/>
        <w:jc w:val="both"/>
        <w:rPr>
          <w:bCs/>
        </w:rPr>
      </w:pPr>
      <w:r w:rsidRPr="00B85C8C">
        <w:rPr>
          <w:iCs/>
        </w:rPr>
        <w:t xml:space="preserve">+ </w:t>
      </w:r>
      <w:r w:rsidRPr="00B85C8C">
        <w:rPr>
          <w:bCs/>
        </w:rPr>
        <w:t>Tỷ lệ CQCM cấp tỉnh, ĐVHC cấp huyện thực hiện đúng việc duy trì, cải tiến ISO 9001 theo quy định: 0/0,5 điểm (</w:t>
      </w:r>
      <w:r>
        <w:rPr>
          <w:bCs/>
        </w:rPr>
        <w:t xml:space="preserve">lý do: </w:t>
      </w:r>
      <w:r w:rsidRPr="00B85C8C">
        <w:rPr>
          <w:bCs/>
        </w:rPr>
        <w:t>Còn có một số cơ quan đơn vị chưa thực hiện đúng việc duy trì, cải tiến ISO).</w:t>
      </w:r>
    </w:p>
    <w:p w:rsidR="005D1767" w:rsidRPr="00B85C8C" w:rsidRDefault="005D1767">
      <w:pPr>
        <w:spacing w:before="60"/>
        <w:ind w:firstLine="709"/>
        <w:jc w:val="both"/>
        <w:rPr>
          <w:i/>
          <w:shd w:val="clear" w:color="auto" w:fill="FFFFFF"/>
        </w:rPr>
      </w:pPr>
      <w:r w:rsidRPr="00B85C8C">
        <w:rPr>
          <w:i/>
          <w:shd w:val="clear" w:color="auto" w:fill="FFFFFF"/>
        </w:rPr>
        <w:t xml:space="preserve">- </w:t>
      </w:r>
      <w:r w:rsidRPr="00B85C8C">
        <w:rPr>
          <w:i/>
        </w:rPr>
        <w:t>Tác động của cải cách đến hiện đại hóa hành chính</w:t>
      </w:r>
      <w:r>
        <w:rPr>
          <w:i/>
        </w:rPr>
        <w:t xml:space="preserve"> (Điều tra xã hội học)</w:t>
      </w:r>
      <w:r w:rsidRPr="00B85C8C">
        <w:rPr>
          <w:i/>
        </w:rPr>
        <w:t>: 3,23/4 điểm</w:t>
      </w:r>
      <w:r w:rsidRPr="00B85C8C">
        <w:rPr>
          <w:i/>
          <w:shd w:val="clear" w:color="auto" w:fill="FFFFFF"/>
        </w:rPr>
        <w:t>.</w:t>
      </w:r>
    </w:p>
    <w:p w:rsidR="005D1767" w:rsidRPr="00B85C8C" w:rsidRDefault="005D1767">
      <w:pPr>
        <w:spacing w:before="60"/>
        <w:ind w:firstLine="709"/>
        <w:jc w:val="both"/>
        <w:rPr>
          <w:b/>
          <w:shd w:val="clear" w:color="auto" w:fill="FFFFFF"/>
        </w:rPr>
      </w:pPr>
      <w:r w:rsidRPr="00B85C8C">
        <w:rPr>
          <w:b/>
          <w:shd w:val="clear" w:color="auto" w:fill="FFFFFF"/>
        </w:rPr>
        <w:t>8. Tác động cải cách đến phát tr</w:t>
      </w:r>
      <w:r>
        <w:rPr>
          <w:b/>
          <w:shd w:val="clear" w:color="auto" w:fill="FFFFFF"/>
        </w:rPr>
        <w:t xml:space="preserve">iển kinh tế, xã hội của tỉnh: 14,59/16,5 </w:t>
      </w:r>
      <w:r w:rsidRPr="00B85C8C">
        <w:rPr>
          <w:b/>
          <w:shd w:val="clear" w:color="auto" w:fill="FFFFFF"/>
        </w:rPr>
        <w:t>điểm</w:t>
      </w:r>
      <w:r>
        <w:rPr>
          <w:b/>
          <w:shd w:val="clear" w:color="auto" w:fill="FFFFFF"/>
        </w:rPr>
        <w:t xml:space="preserve"> (xếp thứ 2 trong các tỉnh, thành phố trực thuộc Trung ương).</w:t>
      </w:r>
    </w:p>
    <w:p w:rsidR="005D1767" w:rsidRPr="00B85C8C" w:rsidRDefault="005D1767">
      <w:pPr>
        <w:spacing w:before="60"/>
        <w:ind w:firstLine="709"/>
        <w:jc w:val="both"/>
        <w:rPr>
          <w:i/>
          <w:shd w:val="clear" w:color="auto" w:fill="FFFFFF"/>
        </w:rPr>
      </w:pPr>
      <w:r w:rsidRPr="00B85C8C">
        <w:rPr>
          <w:i/>
          <w:shd w:val="clear" w:color="auto" w:fill="FFFFFF"/>
        </w:rPr>
        <w:t xml:space="preserve">8.1. </w:t>
      </w:r>
      <w:r w:rsidRPr="00B85C8C">
        <w:rPr>
          <w:bCs/>
          <w:i/>
        </w:rPr>
        <w:t>Kết quả khảo sát sự hài lòng của người dân, tổ chức đối với sự phục vụ của cơ quan hành chính nhà nước trên địa bàn tỉnh</w:t>
      </w:r>
      <w:r w:rsidRPr="00B85C8C">
        <w:rPr>
          <w:i/>
          <w:shd w:val="clear" w:color="auto" w:fill="FFFFFF"/>
        </w:rPr>
        <w:t xml:space="preserve"> (Chỉ số SIPAS): 11,09/12 điểm.</w:t>
      </w:r>
    </w:p>
    <w:p w:rsidR="005D1767" w:rsidRPr="00B85C8C" w:rsidRDefault="005D1767">
      <w:pPr>
        <w:spacing w:before="60"/>
        <w:ind w:firstLine="709"/>
        <w:jc w:val="both"/>
        <w:rPr>
          <w:i/>
          <w:shd w:val="clear" w:color="auto" w:fill="FFFFFF"/>
        </w:rPr>
      </w:pPr>
      <w:r w:rsidRPr="00B85C8C">
        <w:rPr>
          <w:i/>
          <w:shd w:val="clear" w:color="auto" w:fill="FFFFFF"/>
        </w:rPr>
        <w:t xml:space="preserve">8.2 </w:t>
      </w:r>
      <w:r w:rsidRPr="00B85C8C">
        <w:rPr>
          <w:bCs/>
          <w:i/>
        </w:rPr>
        <w:t>Mức độ phát triển doanh nghiệp của tỉnh: 1/2  điểm</w:t>
      </w:r>
    </w:p>
    <w:p w:rsidR="005D1767" w:rsidRDefault="005D1767">
      <w:pPr>
        <w:spacing w:before="60"/>
        <w:ind w:firstLine="709"/>
        <w:jc w:val="both"/>
        <w:rPr>
          <w:bCs/>
        </w:rPr>
      </w:pPr>
      <w:r w:rsidRPr="00B85C8C">
        <w:rPr>
          <w:bCs/>
          <w:i/>
        </w:rPr>
        <w:t xml:space="preserve"> Lý do bị trừ điểm: </w:t>
      </w:r>
      <w:r w:rsidRPr="00067471">
        <w:rPr>
          <w:bCs/>
        </w:rPr>
        <w:t>Tỷ lệ doanh nghiệp thành lập mới trong năm: 0/1 điểm (8,6%).</w:t>
      </w:r>
    </w:p>
    <w:p w:rsidR="005D1767" w:rsidRDefault="005D1767">
      <w:pPr>
        <w:spacing w:before="60"/>
        <w:ind w:firstLine="709"/>
        <w:jc w:val="both"/>
        <w:rPr>
          <w:b/>
          <w:bCs/>
        </w:rPr>
      </w:pPr>
      <w:r>
        <w:rPr>
          <w:b/>
          <w:bCs/>
        </w:rPr>
        <w:t>II</w:t>
      </w:r>
      <w:r w:rsidRPr="007426B1">
        <w:rPr>
          <w:b/>
          <w:bCs/>
        </w:rPr>
        <w:t>. CHỈ SỐ SIPAS</w:t>
      </w:r>
    </w:p>
    <w:p w:rsidR="005D1767" w:rsidRPr="001F1E45" w:rsidRDefault="005D1767">
      <w:pPr>
        <w:spacing w:before="60"/>
        <w:ind w:firstLine="709"/>
        <w:jc w:val="both"/>
        <w:rPr>
          <w:bCs/>
        </w:rPr>
      </w:pPr>
      <w:r>
        <w:rPr>
          <w:bCs/>
        </w:rPr>
        <w:t>Năm 2018 là năm thứ hai Bộ Nội vụ tiến hành đo lường sự hài lòng của người dân, tổ chức đối với sự phục vụ của cơ quan hành chính nhà nước trên tất cả 63 tỉnh, thành phố, trực thuộc Trung ương với tổng số phiếu phát ra là 33.900 phiếu, trong đó điều tra tại tỉnh Hà Tĩnh là 480 phiếu đối với 06 sở cung ứng nhiều dịch vụ: Tài Nguyên</w:t>
      </w:r>
      <w:r w:rsidR="00F57DA6">
        <w:rPr>
          <w:bCs/>
        </w:rPr>
        <w:t xml:space="preserve"> và </w:t>
      </w:r>
      <w:r>
        <w:rPr>
          <w:bCs/>
        </w:rPr>
        <w:t>Môi trường; Giao thông Vận tải; Xây dựng; Văn hóa</w:t>
      </w:r>
      <w:r w:rsidR="00CD26C5">
        <w:rPr>
          <w:bCs/>
        </w:rPr>
        <w:t xml:space="preserve">, </w:t>
      </w:r>
      <w:r>
        <w:rPr>
          <w:bCs/>
        </w:rPr>
        <w:t xml:space="preserve">Thể thao </w:t>
      </w:r>
      <w:r w:rsidR="00F57DA6">
        <w:rPr>
          <w:bCs/>
        </w:rPr>
        <w:t xml:space="preserve">và </w:t>
      </w:r>
      <w:r>
        <w:rPr>
          <w:bCs/>
        </w:rPr>
        <w:t xml:space="preserve">Du lịch; Nông nghiệp và Phát triển nông thôn; Tư pháp; 06 UBND </w:t>
      </w:r>
      <w:r w:rsidR="00CD26C5">
        <w:rPr>
          <w:bCs/>
        </w:rPr>
        <w:t xml:space="preserve">cấp </w:t>
      </w:r>
      <w:r>
        <w:rPr>
          <w:bCs/>
        </w:rPr>
        <w:t>huyện và 18 xã, phường, thị trấn của các huyện: Thành phố Hà Tĩnh, Cẩm Xuyên, Thị xã Hồng Lĩnh, Can Lộc, Đức Thọ, Nghi Xuân.</w:t>
      </w:r>
    </w:p>
    <w:p w:rsidR="005D1767" w:rsidRDefault="005D1767">
      <w:pPr>
        <w:spacing w:before="60"/>
        <w:ind w:firstLine="709"/>
        <w:jc w:val="both"/>
        <w:rPr>
          <w:bCs/>
        </w:rPr>
      </w:pPr>
      <w:r w:rsidRPr="00D01F96">
        <w:rPr>
          <w:bCs/>
        </w:rPr>
        <w:t xml:space="preserve">Kết quả SIPAS của các tỉnh, thành phố chia thành 03 loại: Cao nhất, trung vị, thấp nhất. Chỉ số SIPAS trung bình </w:t>
      </w:r>
      <w:r>
        <w:rPr>
          <w:bCs/>
        </w:rPr>
        <w:t>năm 2018 của các tỉnh, thành phố là 82,99% cao hơn năm 2017 là 2,09%. Khoảng cách giữa tỉnh có kết quả SIPAS cao nhất (</w:t>
      </w:r>
      <w:r w:rsidR="00CD26C5">
        <w:rPr>
          <w:bCs/>
        </w:rPr>
        <w:t xml:space="preserve">tỉnh </w:t>
      </w:r>
      <w:r>
        <w:rPr>
          <w:bCs/>
        </w:rPr>
        <w:t>Sơn La) với tỉnh có kết quả thấp nhất (</w:t>
      </w:r>
      <w:r w:rsidR="00CD26C5">
        <w:rPr>
          <w:bCs/>
        </w:rPr>
        <w:t xml:space="preserve">tỉnh </w:t>
      </w:r>
      <w:r>
        <w:rPr>
          <w:bCs/>
        </w:rPr>
        <w:t>Hà Giang) là 27,9%.</w:t>
      </w:r>
    </w:p>
    <w:p w:rsidR="005D1767" w:rsidRDefault="005D1767">
      <w:pPr>
        <w:spacing w:before="60"/>
        <w:ind w:firstLine="709"/>
        <w:jc w:val="both"/>
        <w:rPr>
          <w:bCs/>
        </w:rPr>
      </w:pPr>
      <w:r>
        <w:rPr>
          <w:bCs/>
        </w:rPr>
        <w:t xml:space="preserve">Chỉ số SIPAS của tỉnh Hà Tĩnh năm 2018 đạt 92,17% tăng 7,49% so với năm 2017 </w:t>
      </w:r>
      <w:r w:rsidRPr="00B37736">
        <w:rPr>
          <w:bCs/>
          <w:i/>
        </w:rPr>
        <w:t>(</w:t>
      </w:r>
      <w:r w:rsidRPr="007B7256">
        <w:rPr>
          <w:bCs/>
          <w:i/>
        </w:rPr>
        <w:t>Năm 2017 đạt 84,68%).</w:t>
      </w:r>
      <w:r>
        <w:rPr>
          <w:bCs/>
        </w:rPr>
        <w:t xml:space="preserve"> Xếp thứ </w:t>
      </w:r>
      <w:r w:rsidR="008B2FE7">
        <w:rPr>
          <w:bCs/>
        </w:rPr>
        <w:t>0</w:t>
      </w:r>
      <w:r>
        <w:rPr>
          <w:bCs/>
        </w:rPr>
        <w:t xml:space="preserve">4/63 tỉnh, thành phố trực thuộc Trung ương, thuộc nhóm cao nhất cả nước, xếp thứ nhất đối với Chỉ số </w:t>
      </w:r>
      <w:r w:rsidR="00F57DA6">
        <w:rPr>
          <w:bCs/>
        </w:rPr>
        <w:t xml:space="preserve">hài </w:t>
      </w:r>
      <w:r>
        <w:rPr>
          <w:bCs/>
        </w:rPr>
        <w:t>lòng về sự phục vụ hành chính các tỉnh loại II và các tỉnh duyên hải miền Trung năm 2018, cụ thể:</w:t>
      </w:r>
    </w:p>
    <w:p w:rsidR="005D1767" w:rsidRDefault="005D1767">
      <w:pPr>
        <w:spacing w:before="60"/>
        <w:ind w:firstLine="709"/>
        <w:jc w:val="both"/>
        <w:rPr>
          <w:bCs/>
        </w:rPr>
      </w:pPr>
      <w:r>
        <w:rPr>
          <w:bCs/>
        </w:rPr>
        <w:t xml:space="preserve">Tỷ lệ người dân hài lòng về tiếp cận dịch vụ 91,42% (xếp thứ </w:t>
      </w:r>
      <w:r w:rsidR="008B2FE7">
        <w:rPr>
          <w:bCs/>
        </w:rPr>
        <w:t>0</w:t>
      </w:r>
      <w:r>
        <w:rPr>
          <w:bCs/>
        </w:rPr>
        <w:t>6/63 tỉnh, thành phố trực thuộc Trung ương), bình thường 8,05%, không hài lòng chiếm 0,53% so với năm 2017 thì tỷ lệ người dân hài lòng về tiếp cận dịch vụ tăng 8,4%, không hài lòng tăng 0,03% (năm 2017: 0,5%).</w:t>
      </w:r>
    </w:p>
    <w:p w:rsidR="005D1767" w:rsidRDefault="005D1767">
      <w:pPr>
        <w:spacing w:before="60"/>
        <w:ind w:firstLine="709"/>
        <w:jc w:val="both"/>
        <w:rPr>
          <w:bCs/>
        </w:rPr>
      </w:pPr>
      <w:r>
        <w:rPr>
          <w:bCs/>
        </w:rPr>
        <w:t xml:space="preserve"> Tỷ lệ người dân, tổ chức hài lòng về </w:t>
      </w:r>
      <w:r w:rsidR="00F57DA6">
        <w:rPr>
          <w:bCs/>
        </w:rPr>
        <w:t xml:space="preserve">thủ </w:t>
      </w:r>
      <w:r>
        <w:rPr>
          <w:bCs/>
        </w:rPr>
        <w:t xml:space="preserve">tục hành chính đạt 95,82% (xếp thứ </w:t>
      </w:r>
      <w:r w:rsidR="008B2FE7">
        <w:rPr>
          <w:bCs/>
        </w:rPr>
        <w:t>0</w:t>
      </w:r>
      <w:r>
        <w:rPr>
          <w:bCs/>
        </w:rPr>
        <w:t xml:space="preserve">4/63 tỉnh, thành phố trực thuộc Trung ương), bình thường 3,71% và không hài lòng chiếm tỷ lệ thấp: 0,47%. So với năm 2017 tỷ lệ hài lòng của người dân, </w:t>
      </w:r>
      <w:r>
        <w:rPr>
          <w:bCs/>
        </w:rPr>
        <w:lastRenderedPageBreak/>
        <w:t>tổ chức tăng 7,89% (năm 2017: 83,92%) và không hài lòng giảm 0,51% (năm 2017: 0,98%).</w:t>
      </w:r>
    </w:p>
    <w:p w:rsidR="005D1767" w:rsidRDefault="005D1767">
      <w:pPr>
        <w:spacing w:before="60"/>
        <w:ind w:firstLine="709"/>
        <w:jc w:val="both"/>
        <w:rPr>
          <w:bCs/>
        </w:rPr>
      </w:pPr>
      <w:r>
        <w:rPr>
          <w:bCs/>
        </w:rPr>
        <w:t xml:space="preserve">Tỷ lệ người dân, tổ chức hài lòng về công chức đạt 93,99% (xếp thứ </w:t>
      </w:r>
      <w:r w:rsidR="008B2FE7">
        <w:rPr>
          <w:bCs/>
        </w:rPr>
        <w:t>0</w:t>
      </w:r>
      <w:r>
        <w:rPr>
          <w:bCs/>
        </w:rPr>
        <w:t>4/63 tỉnh, thành phố trực thuộc Trung ương), bình thường 5,4% và không hài lòng chiếm 0,60%. So với năm 2017, tỷ lệ hài lòng tăng 9,02% (năm 2017: 84,96%) và không hài lòng giảm 0,95% (năm 2017: 1,55%).</w:t>
      </w:r>
    </w:p>
    <w:p w:rsidR="005D1767" w:rsidRDefault="005D1767">
      <w:pPr>
        <w:spacing w:before="60"/>
        <w:ind w:firstLine="709"/>
        <w:jc w:val="both"/>
        <w:rPr>
          <w:bCs/>
        </w:rPr>
      </w:pPr>
      <w:r>
        <w:rPr>
          <w:bCs/>
        </w:rPr>
        <w:t xml:space="preserve">Tỷ lệ người dân, tổ chức hài lòng về kết </w:t>
      </w:r>
      <w:r w:rsidR="00CD26C5">
        <w:rPr>
          <w:bCs/>
        </w:rPr>
        <w:t xml:space="preserve">quả cung ứng </w:t>
      </w:r>
      <w:r>
        <w:rPr>
          <w:bCs/>
        </w:rPr>
        <w:t xml:space="preserve">dịch vụ đạt 95,44% (xếp thứ </w:t>
      </w:r>
      <w:r w:rsidR="008B2FE7">
        <w:rPr>
          <w:bCs/>
        </w:rPr>
        <w:t>0</w:t>
      </w:r>
      <w:r>
        <w:rPr>
          <w:bCs/>
        </w:rPr>
        <w:t xml:space="preserve">4/63 tỉnh, thành phố trực thuộc Trung ương), bình thường 4,13% và không hài lòng 0,43%. So với năm 2017, tỷ lệ hài lòng của người dân, tổ chức tăng 7,98%  (năm 2017: 87,45%), </w:t>
      </w:r>
    </w:p>
    <w:p w:rsidR="005D1767" w:rsidRDefault="005D1767">
      <w:pPr>
        <w:spacing w:before="60"/>
        <w:ind w:firstLine="709"/>
        <w:jc w:val="both"/>
        <w:rPr>
          <w:bCs/>
        </w:rPr>
      </w:pPr>
      <w:r>
        <w:rPr>
          <w:bCs/>
        </w:rPr>
        <w:t>Tỷ lệ người dân, tổ chức hài lòng về tiếp nhận, xử lý góp ý, phản ánh, kiến nghị 83,20% (xếp thứ 15/63 tỉnh, thành phố trực thuộc Trung ương), bình thường 13,32%, không hài lòng 3,48%. So với năm 2017 tỷ lệ người dân, tổ chức hài lòng tăng 3,35% (năm 2017: 79,84%) và không hài lòng giảm 2% (năm 2017: 5,48%).</w:t>
      </w:r>
    </w:p>
    <w:p w:rsidR="005D1767" w:rsidRPr="00067471" w:rsidRDefault="005D1767">
      <w:pPr>
        <w:spacing w:before="60"/>
        <w:ind w:firstLine="709"/>
        <w:jc w:val="both"/>
        <w:rPr>
          <w:bCs/>
        </w:rPr>
      </w:pPr>
      <w:r>
        <w:rPr>
          <w:bCs/>
        </w:rPr>
        <w:t xml:space="preserve">Kết quả trên cho thấy, tỷ lệ người dân, tổ chức hài lòng về sự phục vụ của cơ quan hành chính nhà nước năm 2018 tăng trên tất cả các tiêu chí đánh giá so với năm 2017. Đây là một sự ghi nhận, đánh giá cao của người dân trong thời gian qua đối với công tác CCHC của tỉnh nói chung mà đặc biệt là sự chỉ đạo quyết liệt có hiệu quả của Tỉnh ủy, </w:t>
      </w:r>
      <w:r w:rsidR="009C1067">
        <w:rPr>
          <w:bCs/>
        </w:rPr>
        <w:t xml:space="preserve">HĐND tỉnh, </w:t>
      </w:r>
      <w:r>
        <w:rPr>
          <w:bCs/>
        </w:rPr>
        <w:t>UBND tỉnh trong việc thành lập Trung tâm phục vụ Hành chính công tỉnh và Trung tâm Hành chính công cấp huyện tạo sự đột phá trong thực hiện cơ chế một cửa, một cửa liên thông trên địa bàn tỉnh.</w:t>
      </w:r>
    </w:p>
    <w:p w:rsidR="005D1767" w:rsidRPr="006821B7" w:rsidRDefault="005D1767">
      <w:pPr>
        <w:shd w:val="clear" w:color="auto" w:fill="FFFFFF"/>
        <w:spacing w:before="60"/>
        <w:ind w:firstLine="709"/>
        <w:jc w:val="both"/>
        <w:rPr>
          <w:b/>
        </w:rPr>
      </w:pPr>
      <w:r>
        <w:rPr>
          <w:b/>
        </w:rPr>
        <w:t xml:space="preserve">III. </w:t>
      </w:r>
      <w:r w:rsidR="000C6858">
        <w:rPr>
          <w:b/>
        </w:rPr>
        <w:t>CHỈ SỐ</w:t>
      </w:r>
      <w:r>
        <w:rPr>
          <w:b/>
        </w:rPr>
        <w:t xml:space="preserve"> PAPI</w:t>
      </w:r>
    </w:p>
    <w:p w:rsidR="005D1767" w:rsidRPr="00EA1887" w:rsidRDefault="005D1767" w:rsidP="00FC0D68">
      <w:pPr>
        <w:shd w:val="clear" w:color="auto" w:fill="FFFFFF"/>
        <w:spacing w:before="60"/>
        <w:ind w:firstLine="709"/>
        <w:jc w:val="both"/>
        <w:rPr>
          <w:snapToGrid w:val="0"/>
          <w:spacing w:val="-2"/>
        </w:rPr>
      </w:pPr>
      <w:r w:rsidRPr="00EA1887">
        <w:rPr>
          <w:snapToGrid w:val="0"/>
          <w:spacing w:val="-2"/>
        </w:rPr>
        <w:t>PAPI năm 2018 được đánh giá trên 08 chỉ số nội dung, 28 chỉ số nội dung thành phần và 128 chỉ tiêu cụ thể; có 02 chỉ số nội dung mới đó là Quản trị môi trường và Quản trị điện tử, 06 chỉ số nội dung còn lại giữ nguyên như năm 2017. Hà Tĩnh có 04 chỉ số nội dung thuộc nhóm các tỉnh, thành phố có điểm cao nhất cả nước (Tham gia người dân ở cấp cơ sở, Công khai minh bạch, Trách nhiệm giải trình với người dân, Thủ tục hành chính công</w:t>
      </w:r>
      <w:r w:rsidR="009C1067" w:rsidRPr="00EA1887">
        <w:rPr>
          <w:snapToGrid w:val="0"/>
          <w:spacing w:val="-2"/>
        </w:rPr>
        <w:t>)</w:t>
      </w:r>
      <w:r w:rsidR="009C1067">
        <w:rPr>
          <w:snapToGrid w:val="0"/>
          <w:spacing w:val="-2"/>
        </w:rPr>
        <w:t>;</w:t>
      </w:r>
      <w:r w:rsidR="009C1067" w:rsidRPr="00EA1887">
        <w:rPr>
          <w:snapToGrid w:val="0"/>
          <w:spacing w:val="-2"/>
        </w:rPr>
        <w:t xml:space="preserve"> </w:t>
      </w:r>
      <w:r w:rsidRPr="00EA1887">
        <w:rPr>
          <w:snapToGrid w:val="0"/>
          <w:spacing w:val="-2"/>
        </w:rPr>
        <w:t>02 chỉ số nội dung thuộc nhóm điểm trung bình cao cả nước (Kiểm soát tham nhũng trong khu vực công, Quản trị điện tử) và 02 chỉ số nội dung thuộc nhóm điểm trung bình thấp cả nước (Cung ứng dịch vụ công và Quản trị môi trường). So với 06 chỉ số nội dung đánh giá của PAPI năm 2017 (02 chỉ số nội dung mới không có so sánh)</w:t>
      </w:r>
      <w:r>
        <w:rPr>
          <w:snapToGrid w:val="0"/>
          <w:spacing w:val="-2"/>
        </w:rPr>
        <w:t xml:space="preserve"> </w:t>
      </w:r>
      <w:r w:rsidRPr="00EA1887">
        <w:rPr>
          <w:snapToGrid w:val="0"/>
          <w:spacing w:val="-2"/>
        </w:rPr>
        <w:t>có 02 chỉ</w:t>
      </w:r>
      <w:r w:rsidRPr="00EA1887">
        <w:rPr>
          <w:color w:val="000000"/>
          <w:shd w:val="clear" w:color="auto" w:fill="FFFFFF"/>
        </w:rPr>
        <w:t xml:space="preserve"> số nội dung tăng vượt bậc đó là “Trách nhiệm giải trình với người dân” </w:t>
      </w:r>
      <w:r>
        <w:rPr>
          <w:color w:val="000000"/>
          <w:shd w:val="clear" w:color="auto" w:fill="FFFFFF"/>
        </w:rPr>
        <w:t xml:space="preserve">(tăng 48 bậc) </w:t>
      </w:r>
      <w:r w:rsidRPr="00EA1887">
        <w:rPr>
          <w:color w:val="000000"/>
          <w:shd w:val="clear" w:color="auto" w:fill="FFFFFF"/>
        </w:rPr>
        <w:t xml:space="preserve">và “Thủ tục hành chính công” </w:t>
      </w:r>
      <w:r>
        <w:rPr>
          <w:color w:val="000000"/>
          <w:shd w:val="clear" w:color="auto" w:fill="FFFFFF"/>
        </w:rPr>
        <w:t xml:space="preserve">(tăng 27 bậc) so với năm 2017 </w:t>
      </w:r>
      <w:r w:rsidRPr="00EA1887">
        <w:rPr>
          <w:color w:val="000000"/>
          <w:shd w:val="clear" w:color="auto" w:fill="FFFFFF"/>
        </w:rPr>
        <w:t xml:space="preserve">và </w:t>
      </w:r>
      <w:r w:rsidRPr="00EA1887">
        <w:rPr>
          <w:snapToGrid w:val="0"/>
          <w:spacing w:val="-2"/>
        </w:rPr>
        <w:t xml:space="preserve">03 chỉ số </w:t>
      </w:r>
      <w:r w:rsidRPr="00EA1887">
        <w:rPr>
          <w:color w:val="000000"/>
          <w:shd w:val="clear" w:color="auto" w:fill="FFFFFF"/>
        </w:rPr>
        <w:t>nội dung: “Tham gia của người dân ở cấp cơ sở”; “Công khai, minh bạch”; “Kiểm soát tham nhũng trong khu vực công" đều giảm 3 - 4 bậc so với năm 2017. Riêng chỉ số “Cung ứng dịch vụ công” giảm đến 13 bậc (năm 2017 từ vị trí 27 với 7,11 điểm xuống còn 6,97 điểm, xếp thứ 40 trong cả nước)</w:t>
      </w:r>
      <w:r w:rsidRPr="00EA1887">
        <w:rPr>
          <w:snapToGrid w:val="0"/>
          <w:spacing w:val="-2"/>
        </w:rPr>
        <w:t xml:space="preserve">, cụ thể như sau: </w:t>
      </w:r>
    </w:p>
    <w:p w:rsidR="005D1767" w:rsidRPr="00593C45" w:rsidRDefault="005D1767" w:rsidP="00B37736">
      <w:pPr>
        <w:shd w:val="clear" w:color="auto" w:fill="FFFFFF"/>
        <w:spacing w:before="60"/>
        <w:ind w:firstLine="567"/>
        <w:jc w:val="both"/>
        <w:rPr>
          <w:snapToGrid w:val="0"/>
          <w:spacing w:val="-2"/>
        </w:rPr>
      </w:pPr>
      <w:r>
        <w:rPr>
          <w:snapToGrid w:val="0"/>
          <w:spacing w:val="-2"/>
        </w:rPr>
        <w:t xml:space="preserve">  </w:t>
      </w:r>
      <w:r w:rsidRPr="00593C45">
        <w:rPr>
          <w:snapToGrid w:val="0"/>
          <w:spacing w:val="-2"/>
        </w:rPr>
        <w:t xml:space="preserve">1. Chỉ số nội dung: Tham gia </w:t>
      </w:r>
      <w:r w:rsidRPr="0001647A">
        <w:rPr>
          <w:snapToGrid w:val="0"/>
          <w:spacing w:val="-2"/>
        </w:rPr>
        <w:t xml:space="preserve">người dân ở cấp cơ sở : 5,95/10 điểm xếp thứ 4 toàn quốc sau </w:t>
      </w:r>
      <w:r w:rsidR="009C1067">
        <w:rPr>
          <w:snapToGrid w:val="0"/>
          <w:spacing w:val="-2"/>
        </w:rPr>
        <w:t xml:space="preserve">các tỉnh: </w:t>
      </w:r>
      <w:r w:rsidRPr="0001647A">
        <w:rPr>
          <w:snapToGrid w:val="0"/>
          <w:spacing w:val="-2"/>
        </w:rPr>
        <w:t>Thái Bình, Nghệ An, Vĩnh Phúc</w:t>
      </w:r>
      <w:r w:rsidR="009C1067">
        <w:rPr>
          <w:snapToGrid w:val="0"/>
          <w:spacing w:val="-2"/>
        </w:rPr>
        <w:t>;</w:t>
      </w:r>
      <w:r w:rsidR="009C1067" w:rsidRPr="0001647A">
        <w:rPr>
          <w:snapToGrid w:val="0"/>
          <w:spacing w:val="-2"/>
        </w:rPr>
        <w:t xml:space="preserve"> </w:t>
      </w:r>
      <w:r w:rsidRPr="0001647A">
        <w:rPr>
          <w:snapToGrid w:val="0"/>
          <w:spacing w:val="-2"/>
        </w:rPr>
        <w:t>giảm 03 bậc so với năm 2017, vẫn nằm trong nhóm 16 tỉnh, thành phố có điểm cao nhất</w:t>
      </w:r>
      <w:r w:rsidRPr="00593C45">
        <w:rPr>
          <w:snapToGrid w:val="0"/>
          <w:spacing w:val="-2"/>
        </w:rPr>
        <w:t xml:space="preserve"> cả nước.</w:t>
      </w:r>
    </w:p>
    <w:p w:rsidR="005D1767" w:rsidRPr="00593C45" w:rsidRDefault="005D1767" w:rsidP="00B37736">
      <w:pPr>
        <w:spacing w:before="60"/>
        <w:jc w:val="both"/>
      </w:pPr>
      <w:r w:rsidRPr="00593C45">
        <w:lastRenderedPageBreak/>
        <w:tab/>
        <w:t xml:space="preserve">2. </w:t>
      </w:r>
      <w:r w:rsidRPr="00593C45">
        <w:rPr>
          <w:lang w:val="vi-VN"/>
        </w:rPr>
        <w:t xml:space="preserve">Chỉ số nội dung </w:t>
      </w:r>
      <w:r w:rsidRPr="00593C45">
        <w:t xml:space="preserve">“Công khai minh bạch” </w:t>
      </w:r>
      <w:r w:rsidRPr="00593C45">
        <w:rPr>
          <w:lang w:val="vi-VN"/>
        </w:rPr>
        <w:t>đạt 5,68</w:t>
      </w:r>
      <w:r w:rsidRPr="00593C45">
        <w:t>/10</w:t>
      </w:r>
      <w:r w:rsidRPr="00593C45">
        <w:rPr>
          <w:lang w:val="vi-VN"/>
        </w:rPr>
        <w:t xml:space="preserve"> điểm, </w:t>
      </w:r>
      <w:r w:rsidRPr="00593C45">
        <w:t>xếp</w:t>
      </w:r>
      <w:r w:rsidRPr="00593C45">
        <w:rPr>
          <w:lang w:val="vi-VN"/>
        </w:rPr>
        <w:t xml:space="preserve"> thứ </w:t>
      </w:r>
      <w:r w:rsidR="008B2FE7">
        <w:t>0</w:t>
      </w:r>
      <w:r w:rsidRPr="00593C45">
        <w:rPr>
          <w:lang w:val="vi-VN"/>
        </w:rPr>
        <w:t xml:space="preserve">6 toàn quốc, sau </w:t>
      </w:r>
      <w:r w:rsidR="009C1067">
        <w:t xml:space="preserve">các tỉnh: </w:t>
      </w:r>
      <w:r w:rsidRPr="00593C45">
        <w:rPr>
          <w:lang w:val="vi-VN"/>
        </w:rPr>
        <w:t>Thái Nguyên, Lạng Sơn, Thanh Hóa, Quảng Bình, Thái Bình</w:t>
      </w:r>
      <w:r w:rsidR="009C1067">
        <w:t>;</w:t>
      </w:r>
      <w:r w:rsidR="009C1067" w:rsidRPr="00593C45">
        <w:rPr>
          <w:lang w:val="vi-VN"/>
        </w:rPr>
        <w:t xml:space="preserve"> </w:t>
      </w:r>
      <w:r w:rsidRPr="00593C45">
        <w:rPr>
          <w:lang w:val="vi-VN"/>
        </w:rPr>
        <w:t>giảm 3 bậc so với năm 2017</w:t>
      </w:r>
      <w:r w:rsidRPr="00593C45">
        <w:t>, thuộc nhóm các tỉnh, thành phố có điểm cao nhất cả nước.</w:t>
      </w:r>
    </w:p>
    <w:p w:rsidR="005D1767" w:rsidRPr="00593C45" w:rsidRDefault="005D1767" w:rsidP="00B37736">
      <w:pPr>
        <w:spacing w:before="60"/>
        <w:jc w:val="both"/>
      </w:pPr>
      <w:r w:rsidRPr="00593C45">
        <w:tab/>
        <w:t xml:space="preserve">3. </w:t>
      </w:r>
      <w:r w:rsidRPr="00593C45">
        <w:rPr>
          <w:lang w:val="vi-VN"/>
        </w:rPr>
        <w:t>Chỉ số nội dung</w:t>
      </w:r>
      <w:r w:rsidRPr="00593C45">
        <w:t xml:space="preserve"> “Trách nhiệm giải trình với người dân” đ</w:t>
      </w:r>
      <w:r w:rsidRPr="00593C45">
        <w:rPr>
          <w:lang w:val="vi-VN"/>
        </w:rPr>
        <w:t>ạt 5,54</w:t>
      </w:r>
      <w:r w:rsidRPr="00593C45">
        <w:t>/10</w:t>
      </w:r>
      <w:r w:rsidRPr="00593C45">
        <w:rPr>
          <w:lang w:val="vi-VN"/>
        </w:rPr>
        <w:t xml:space="preserve"> điểm, xếp thứ 3</w:t>
      </w:r>
      <w:r w:rsidRPr="00593C45">
        <w:t xml:space="preserve"> toàn quốc</w:t>
      </w:r>
      <w:r w:rsidRPr="00593C45">
        <w:rPr>
          <w:lang w:val="vi-VN"/>
        </w:rPr>
        <w:t>,</w:t>
      </w:r>
      <w:r w:rsidRPr="00593C45">
        <w:t xml:space="preserve"> </w:t>
      </w:r>
      <w:r w:rsidRPr="00593C45">
        <w:rPr>
          <w:lang w:val="vi-VN"/>
        </w:rPr>
        <w:t xml:space="preserve">sau </w:t>
      </w:r>
      <w:r w:rsidR="009C1067">
        <w:t xml:space="preserve">các tỉnh: </w:t>
      </w:r>
      <w:r w:rsidRPr="00593C45">
        <w:rPr>
          <w:lang w:val="vi-VN"/>
        </w:rPr>
        <w:t>Quảng Bình, Thái Nguyên</w:t>
      </w:r>
      <w:r w:rsidR="009C1067">
        <w:t>;</w:t>
      </w:r>
      <w:r w:rsidR="009C1067" w:rsidRPr="00593C45">
        <w:rPr>
          <w:lang w:val="vi-VN"/>
        </w:rPr>
        <w:t xml:space="preserve"> </w:t>
      </w:r>
      <w:r w:rsidRPr="00593C45">
        <w:t>t</w:t>
      </w:r>
      <w:r w:rsidRPr="00593C45">
        <w:rPr>
          <w:lang w:val="vi-VN"/>
        </w:rPr>
        <w:t>ăng 48 bậc so với 2017</w:t>
      </w:r>
      <w:r w:rsidRPr="00593C45">
        <w:t xml:space="preserve"> thuộc nhóm các tỉnh, thành phố có điểm cao nhất cả nước.</w:t>
      </w:r>
    </w:p>
    <w:p w:rsidR="005D1767" w:rsidRPr="00593C45" w:rsidRDefault="005D1767" w:rsidP="00B37736">
      <w:pPr>
        <w:spacing w:before="60"/>
        <w:jc w:val="both"/>
        <w:rPr>
          <w:lang w:val="vi-VN"/>
        </w:rPr>
      </w:pPr>
      <w:r w:rsidRPr="00593C45">
        <w:tab/>
      </w:r>
      <w:r w:rsidRPr="00593C45">
        <w:rPr>
          <w:lang w:val="vi-VN"/>
        </w:rPr>
        <w:t>4</w:t>
      </w:r>
      <w:r w:rsidRPr="00593C45">
        <w:t xml:space="preserve">. </w:t>
      </w:r>
      <w:r w:rsidRPr="00593C45">
        <w:rPr>
          <w:lang w:val="vi-VN"/>
        </w:rPr>
        <w:t>Chỉ số nội dung</w:t>
      </w:r>
      <w:r w:rsidRPr="00593C45">
        <w:t xml:space="preserve"> “Kiểm soát tham nhũng trong khu vực công” </w:t>
      </w:r>
      <w:r w:rsidRPr="00593C45">
        <w:rPr>
          <w:lang w:val="vi-VN"/>
        </w:rPr>
        <w:t>đạt 6,60</w:t>
      </w:r>
      <w:r w:rsidRPr="00593C45">
        <w:t>/10</w:t>
      </w:r>
      <w:r w:rsidRPr="00593C45">
        <w:rPr>
          <w:lang w:val="vi-VN"/>
        </w:rPr>
        <w:t xml:space="preserve"> điểm</w:t>
      </w:r>
      <w:r w:rsidRPr="00593C45">
        <w:t xml:space="preserve"> xếp</w:t>
      </w:r>
      <w:r w:rsidRPr="00593C45">
        <w:rPr>
          <w:lang w:val="vi-VN"/>
        </w:rPr>
        <w:t xml:space="preserve"> thứ 24 </w:t>
      </w:r>
      <w:r w:rsidRPr="00593C45">
        <w:t xml:space="preserve">toàn quốc, </w:t>
      </w:r>
      <w:r w:rsidRPr="00593C45">
        <w:rPr>
          <w:lang w:val="vi-VN"/>
        </w:rPr>
        <w:t>giả</w:t>
      </w:r>
      <w:r w:rsidRPr="00593C45">
        <w:t>m</w:t>
      </w:r>
      <w:r>
        <w:rPr>
          <w:lang w:val="vi-VN"/>
        </w:rPr>
        <w:t xml:space="preserve"> </w:t>
      </w:r>
      <w:r w:rsidR="008B2FE7">
        <w:t>0</w:t>
      </w:r>
      <w:r>
        <w:rPr>
          <w:lang w:val="vi-VN"/>
        </w:rPr>
        <w:t>4 bậc so với 2017.</w:t>
      </w:r>
      <w:r w:rsidRPr="00593C45">
        <w:t xml:space="preserve"> Thuộc </w:t>
      </w:r>
      <w:r w:rsidRPr="00593C45">
        <w:rPr>
          <w:lang w:val="vi-VN"/>
        </w:rPr>
        <w:t xml:space="preserve">nhóm </w:t>
      </w:r>
      <w:r w:rsidRPr="00593C45">
        <w:t xml:space="preserve">tỉnh, thành phố </w:t>
      </w:r>
      <w:r w:rsidRPr="00593C45">
        <w:rPr>
          <w:lang w:val="vi-VN"/>
        </w:rPr>
        <w:t>đạt điểm trung bình cao</w:t>
      </w:r>
      <w:r w:rsidRPr="00593C45">
        <w:t xml:space="preserve"> của cả nước.</w:t>
      </w:r>
    </w:p>
    <w:p w:rsidR="005D1767" w:rsidRPr="00593C45" w:rsidRDefault="005D1767" w:rsidP="00B37736">
      <w:pPr>
        <w:spacing w:before="60"/>
        <w:jc w:val="both"/>
      </w:pPr>
      <w:r w:rsidRPr="00593C45">
        <w:tab/>
        <w:t xml:space="preserve">5. </w:t>
      </w:r>
      <w:r w:rsidRPr="00593C45">
        <w:rPr>
          <w:lang w:val="vi-VN"/>
        </w:rPr>
        <w:t xml:space="preserve">Chỉ số nội dung </w:t>
      </w:r>
      <w:r w:rsidRPr="00593C45">
        <w:t xml:space="preserve">“Thủ tục hành chính công” </w:t>
      </w:r>
      <w:r w:rsidRPr="00593C45">
        <w:rPr>
          <w:lang w:val="vi-VN"/>
        </w:rPr>
        <w:t>đạt 7,63</w:t>
      </w:r>
      <w:r w:rsidRPr="00593C45">
        <w:t>/10</w:t>
      </w:r>
      <w:r w:rsidRPr="00593C45">
        <w:rPr>
          <w:lang w:val="vi-VN"/>
        </w:rPr>
        <w:t xml:space="preserve"> điểm, </w:t>
      </w:r>
      <w:r w:rsidRPr="00593C45">
        <w:t>xếp</w:t>
      </w:r>
      <w:r w:rsidRPr="00593C45">
        <w:rPr>
          <w:lang w:val="vi-VN"/>
        </w:rPr>
        <w:t xml:space="preserve"> thứ </w:t>
      </w:r>
      <w:r w:rsidR="008B2FE7">
        <w:t>0</w:t>
      </w:r>
      <w:r w:rsidRPr="00593C45">
        <w:rPr>
          <w:lang w:val="vi-VN"/>
        </w:rPr>
        <w:t>8</w:t>
      </w:r>
      <w:r w:rsidRPr="00593C45">
        <w:t xml:space="preserve"> toàn quốc, t</w:t>
      </w:r>
      <w:r w:rsidRPr="00593C45">
        <w:rPr>
          <w:lang w:val="vi-VN"/>
        </w:rPr>
        <w:t>ăng 27 bậc so với với năm 2017</w:t>
      </w:r>
      <w:r w:rsidRPr="00593C45">
        <w:t>, thuộc nhóm tỉnh, thành phố đạt điểm cao nhất cả nước;</w:t>
      </w:r>
      <w:r w:rsidRPr="00593C45">
        <w:tab/>
      </w:r>
    </w:p>
    <w:p w:rsidR="005D1767" w:rsidRPr="00593C45" w:rsidRDefault="005D1767" w:rsidP="00B37736">
      <w:pPr>
        <w:spacing w:before="60"/>
        <w:jc w:val="both"/>
        <w:rPr>
          <w:lang w:val="vi-VN"/>
        </w:rPr>
      </w:pPr>
      <w:r w:rsidRPr="00593C45">
        <w:tab/>
        <w:t xml:space="preserve">6. </w:t>
      </w:r>
      <w:r w:rsidRPr="00593C45">
        <w:rPr>
          <w:lang w:val="vi-VN"/>
        </w:rPr>
        <w:t>Chỉ số</w:t>
      </w:r>
      <w:r w:rsidRPr="00593C45">
        <w:t xml:space="preserve"> “Cung ứng dịch vụ công”</w:t>
      </w:r>
      <w:r w:rsidRPr="00593C45">
        <w:rPr>
          <w:lang w:val="vi-VN"/>
        </w:rPr>
        <w:t xml:space="preserve"> đạt 6,97</w:t>
      </w:r>
      <w:r w:rsidRPr="00593C45">
        <w:t>/10</w:t>
      </w:r>
      <w:r w:rsidRPr="00593C45">
        <w:rPr>
          <w:lang w:val="vi-VN"/>
        </w:rPr>
        <w:t xml:space="preserve"> điểm</w:t>
      </w:r>
      <w:r w:rsidRPr="00593C45">
        <w:t>,</w:t>
      </w:r>
      <w:r w:rsidRPr="00593C45">
        <w:rPr>
          <w:lang w:val="vi-VN"/>
        </w:rPr>
        <w:t xml:space="preserve"> </w:t>
      </w:r>
      <w:r w:rsidRPr="00593C45">
        <w:t>x</w:t>
      </w:r>
      <w:r w:rsidRPr="00593C45">
        <w:rPr>
          <w:lang w:val="vi-VN"/>
        </w:rPr>
        <w:t xml:space="preserve">ếp thứ 40 </w:t>
      </w:r>
      <w:r w:rsidRPr="00593C45">
        <w:t>toàn quốc</w:t>
      </w:r>
      <w:r w:rsidRPr="00593C45">
        <w:rPr>
          <w:lang w:val="vi-VN"/>
        </w:rPr>
        <w:t xml:space="preserve">, </w:t>
      </w:r>
      <w:r w:rsidRPr="00593C45">
        <w:t>giảm</w:t>
      </w:r>
      <w:r w:rsidRPr="00593C45">
        <w:rPr>
          <w:lang w:val="vi-VN"/>
        </w:rPr>
        <w:t xml:space="preserve"> 13 bậc so với 2017</w:t>
      </w:r>
      <w:r w:rsidRPr="00593C45">
        <w:t>, thuộc</w:t>
      </w:r>
      <w:r w:rsidRPr="00593C45">
        <w:rPr>
          <w:lang w:val="vi-VN"/>
        </w:rPr>
        <w:t xml:space="preserve"> nhóm </w:t>
      </w:r>
      <w:r w:rsidRPr="00593C45">
        <w:t xml:space="preserve">tỉnh, thành phố </w:t>
      </w:r>
      <w:r w:rsidRPr="00593C45">
        <w:rPr>
          <w:lang w:val="vi-VN"/>
        </w:rPr>
        <w:t>đạt điểm trung bình thấp</w:t>
      </w:r>
      <w:r w:rsidRPr="00593C45">
        <w:t xml:space="preserve"> cả nước.</w:t>
      </w:r>
    </w:p>
    <w:p w:rsidR="005D1767" w:rsidRPr="00593C45" w:rsidRDefault="005D1767" w:rsidP="00B37736">
      <w:pPr>
        <w:spacing w:before="60"/>
        <w:jc w:val="both"/>
      </w:pPr>
      <w:r w:rsidRPr="00593C45">
        <w:tab/>
        <w:t xml:space="preserve">7. </w:t>
      </w:r>
      <w:r w:rsidRPr="00593C45">
        <w:rPr>
          <w:lang w:val="vi-VN"/>
        </w:rPr>
        <w:t xml:space="preserve">Chỉ số </w:t>
      </w:r>
      <w:r w:rsidRPr="00593C45">
        <w:t>“Quản trị môi trường” đạt</w:t>
      </w:r>
      <w:r w:rsidRPr="00593C45">
        <w:rPr>
          <w:lang w:val="vi-VN"/>
        </w:rPr>
        <w:t xml:space="preserve"> 4,39</w:t>
      </w:r>
      <w:r w:rsidRPr="00593C45">
        <w:t>/10</w:t>
      </w:r>
      <w:r w:rsidRPr="00593C45">
        <w:rPr>
          <w:lang w:val="vi-VN"/>
        </w:rPr>
        <w:t xml:space="preserve"> điểm, </w:t>
      </w:r>
      <w:r w:rsidRPr="00593C45">
        <w:t xml:space="preserve">xếp </w:t>
      </w:r>
      <w:r w:rsidRPr="00593C45">
        <w:rPr>
          <w:lang w:val="vi-VN"/>
        </w:rPr>
        <w:t xml:space="preserve">thứ 38 </w:t>
      </w:r>
      <w:r w:rsidRPr="00593C45">
        <w:t xml:space="preserve">toàn quốc; </w:t>
      </w:r>
      <w:r>
        <w:rPr>
          <w:lang w:val="vi-VN"/>
        </w:rPr>
        <w:t>thuộc n</w:t>
      </w:r>
      <w:r w:rsidRPr="00593C45">
        <w:rPr>
          <w:lang w:val="vi-VN"/>
        </w:rPr>
        <w:t xml:space="preserve">hóm </w:t>
      </w:r>
      <w:r w:rsidRPr="00593C45">
        <w:t xml:space="preserve">tỉnh, thành phố đạt điểm </w:t>
      </w:r>
      <w:r w:rsidRPr="00593C45">
        <w:rPr>
          <w:lang w:val="vi-VN"/>
        </w:rPr>
        <w:t>trung bình thấp</w:t>
      </w:r>
      <w:r w:rsidRPr="00593C45">
        <w:t xml:space="preserve"> cả nước.</w:t>
      </w:r>
    </w:p>
    <w:p w:rsidR="005D1767" w:rsidRDefault="005D1767" w:rsidP="00B37736">
      <w:pPr>
        <w:spacing w:before="60"/>
        <w:jc w:val="both"/>
      </w:pPr>
      <w:r w:rsidRPr="00593C45">
        <w:tab/>
        <w:t xml:space="preserve">8. </w:t>
      </w:r>
      <w:r w:rsidRPr="00593C45">
        <w:rPr>
          <w:lang w:val="vi-VN"/>
        </w:rPr>
        <w:t>Chỉ số “</w:t>
      </w:r>
      <w:r w:rsidRPr="00593C45">
        <w:t xml:space="preserve">Quản trị điện tử” </w:t>
      </w:r>
      <w:r w:rsidRPr="00593C45">
        <w:rPr>
          <w:lang w:val="vi-VN"/>
        </w:rPr>
        <w:t>đạt 3,32</w:t>
      </w:r>
      <w:r w:rsidRPr="00593C45">
        <w:t>/10</w:t>
      </w:r>
      <w:r w:rsidRPr="00593C45">
        <w:rPr>
          <w:lang w:val="vi-VN"/>
        </w:rPr>
        <w:t xml:space="preserve"> điểm </w:t>
      </w:r>
      <w:r w:rsidRPr="00593C45">
        <w:t>x</w:t>
      </w:r>
      <w:r w:rsidRPr="00593C45">
        <w:rPr>
          <w:lang w:val="vi-VN"/>
        </w:rPr>
        <w:t>ếp vị trí thứ 17</w:t>
      </w:r>
      <w:r w:rsidRPr="00593C45">
        <w:t xml:space="preserve"> toàn quốc,  thuộc nhóm tỉnh, thành phố đạt điểm </w:t>
      </w:r>
      <w:r w:rsidRPr="00593C45">
        <w:rPr>
          <w:lang w:val="vi-VN"/>
        </w:rPr>
        <w:t>trung bình cao cả nước</w:t>
      </w:r>
      <w:r w:rsidRPr="00593C45">
        <w:t>.</w:t>
      </w:r>
      <w:r w:rsidRPr="00EA1887">
        <w:rPr>
          <w:lang w:val="vi-VN"/>
        </w:rPr>
        <w:t xml:space="preserve"> </w:t>
      </w:r>
    </w:p>
    <w:p w:rsidR="009C1067" w:rsidRPr="00B37736" w:rsidRDefault="009C1067" w:rsidP="00B37736">
      <w:pPr>
        <w:spacing w:before="60"/>
        <w:jc w:val="both"/>
        <w:rPr>
          <w:sz w:val="18"/>
        </w:rPr>
      </w:pPr>
    </w:p>
    <w:p w:rsidR="005D1767" w:rsidRPr="0028574C" w:rsidRDefault="005D1767" w:rsidP="00B37736">
      <w:pPr>
        <w:spacing w:before="60"/>
        <w:ind w:left="4070" w:firstLine="970"/>
        <w:rPr>
          <w:b/>
        </w:rPr>
      </w:pPr>
      <w:r w:rsidRPr="00B37736">
        <w:rPr>
          <w:b/>
          <w:sz w:val="26"/>
        </w:rPr>
        <w:t>ỦY BAN NHÂN DÂN TỈNH</w:t>
      </w:r>
    </w:p>
    <w:p w:rsidR="005D1767" w:rsidRPr="0028574C" w:rsidRDefault="005D1767" w:rsidP="005D1767">
      <w:pPr>
        <w:spacing w:after="120"/>
        <w:ind w:firstLine="720"/>
        <w:jc w:val="both"/>
        <w:rPr>
          <w:shd w:val="clear" w:color="auto" w:fill="FFFFFF"/>
        </w:rPr>
      </w:pPr>
    </w:p>
    <w:p w:rsidR="001A319C" w:rsidRDefault="001A319C" w:rsidP="0047146D"/>
    <w:sectPr w:rsidR="001A319C" w:rsidSect="005E2C1A">
      <w:footerReference w:type="default" r:id="rId9"/>
      <w:type w:val="continuous"/>
      <w:pgSz w:w="11907" w:h="16840" w:code="9"/>
      <w:pgMar w:top="1021" w:right="1134" w:bottom="1021" w:left="1701" w:header="720" w:footer="458"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4E4" w:rsidRDefault="004964E4" w:rsidP="00453B33">
      <w:r>
        <w:separator/>
      </w:r>
    </w:p>
  </w:endnote>
  <w:endnote w:type="continuationSeparator" w:id="0">
    <w:p w:rsidR="004964E4" w:rsidRDefault="004964E4" w:rsidP="0045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51F" w:rsidRDefault="0046751F">
    <w:pPr>
      <w:pStyle w:val="Footer"/>
      <w:jc w:val="right"/>
    </w:pPr>
    <w:r>
      <w:fldChar w:fldCharType="begin"/>
    </w:r>
    <w:r>
      <w:instrText xml:space="preserve"> PAGE   \* MERGEFORMAT </w:instrText>
    </w:r>
    <w:r>
      <w:fldChar w:fldCharType="separate"/>
    </w:r>
    <w:r w:rsidR="00E871FE">
      <w:rPr>
        <w:noProof/>
      </w:rPr>
      <w:t>4</w:t>
    </w:r>
    <w:r>
      <w:fldChar w:fldCharType="end"/>
    </w:r>
  </w:p>
  <w:p w:rsidR="00973EF9" w:rsidRDefault="00973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4E4" w:rsidRDefault="004964E4" w:rsidP="00453B33">
      <w:r>
        <w:separator/>
      </w:r>
    </w:p>
  </w:footnote>
  <w:footnote w:type="continuationSeparator" w:id="0">
    <w:p w:rsidR="004964E4" w:rsidRDefault="004964E4" w:rsidP="00453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B5B6B"/>
    <w:multiLevelType w:val="hybridMultilevel"/>
    <w:tmpl w:val="2E54A7A8"/>
    <w:lvl w:ilvl="0" w:tplc="2E8E865E">
      <w:start w:val="25"/>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C44"/>
    <w:rsid w:val="00002459"/>
    <w:rsid w:val="00007425"/>
    <w:rsid w:val="00007F7B"/>
    <w:rsid w:val="00023EB3"/>
    <w:rsid w:val="00035F8C"/>
    <w:rsid w:val="00036632"/>
    <w:rsid w:val="00037FDD"/>
    <w:rsid w:val="00041DEB"/>
    <w:rsid w:val="00050048"/>
    <w:rsid w:val="00055F4F"/>
    <w:rsid w:val="000744F5"/>
    <w:rsid w:val="000837DC"/>
    <w:rsid w:val="00091039"/>
    <w:rsid w:val="00093981"/>
    <w:rsid w:val="00097748"/>
    <w:rsid w:val="000A2203"/>
    <w:rsid w:val="000A3449"/>
    <w:rsid w:val="000A3B9E"/>
    <w:rsid w:val="000B3378"/>
    <w:rsid w:val="000B74E4"/>
    <w:rsid w:val="000C3D3C"/>
    <w:rsid w:val="000C4CB4"/>
    <w:rsid w:val="000C5DE3"/>
    <w:rsid w:val="000C6858"/>
    <w:rsid w:val="000D205D"/>
    <w:rsid w:val="000E1EC6"/>
    <w:rsid w:val="000E4158"/>
    <w:rsid w:val="000E64EC"/>
    <w:rsid w:val="000F2EA1"/>
    <w:rsid w:val="000F383A"/>
    <w:rsid w:val="00100C90"/>
    <w:rsid w:val="00102D09"/>
    <w:rsid w:val="00103DDE"/>
    <w:rsid w:val="0011398A"/>
    <w:rsid w:val="00114382"/>
    <w:rsid w:val="001212ED"/>
    <w:rsid w:val="0012241F"/>
    <w:rsid w:val="00122748"/>
    <w:rsid w:val="00125193"/>
    <w:rsid w:val="001274F0"/>
    <w:rsid w:val="00130CD4"/>
    <w:rsid w:val="0013479B"/>
    <w:rsid w:val="0013624B"/>
    <w:rsid w:val="00141304"/>
    <w:rsid w:val="00142F9D"/>
    <w:rsid w:val="0014358B"/>
    <w:rsid w:val="00150F88"/>
    <w:rsid w:val="001523C5"/>
    <w:rsid w:val="00166851"/>
    <w:rsid w:val="00171D36"/>
    <w:rsid w:val="00172A74"/>
    <w:rsid w:val="00175191"/>
    <w:rsid w:val="0018301E"/>
    <w:rsid w:val="00184A42"/>
    <w:rsid w:val="0018548F"/>
    <w:rsid w:val="001858EF"/>
    <w:rsid w:val="001911DB"/>
    <w:rsid w:val="00191494"/>
    <w:rsid w:val="00193688"/>
    <w:rsid w:val="001963C8"/>
    <w:rsid w:val="001A319C"/>
    <w:rsid w:val="001A454C"/>
    <w:rsid w:val="001A533E"/>
    <w:rsid w:val="001A5410"/>
    <w:rsid w:val="001C0BA3"/>
    <w:rsid w:val="001D189D"/>
    <w:rsid w:val="001E0A04"/>
    <w:rsid w:val="001E5948"/>
    <w:rsid w:val="0020476F"/>
    <w:rsid w:val="00213458"/>
    <w:rsid w:val="0021547A"/>
    <w:rsid w:val="00216944"/>
    <w:rsid w:val="0022078B"/>
    <w:rsid w:val="002279E5"/>
    <w:rsid w:val="00227DE8"/>
    <w:rsid w:val="002303B1"/>
    <w:rsid w:val="002326DB"/>
    <w:rsid w:val="00232758"/>
    <w:rsid w:val="002400A9"/>
    <w:rsid w:val="00246D02"/>
    <w:rsid w:val="00250380"/>
    <w:rsid w:val="002618CC"/>
    <w:rsid w:val="002715BD"/>
    <w:rsid w:val="002737D2"/>
    <w:rsid w:val="00274B6F"/>
    <w:rsid w:val="00277575"/>
    <w:rsid w:val="00283661"/>
    <w:rsid w:val="00292AC4"/>
    <w:rsid w:val="002A44A4"/>
    <w:rsid w:val="002D2049"/>
    <w:rsid w:val="002D40CB"/>
    <w:rsid w:val="002D7F47"/>
    <w:rsid w:val="002E155B"/>
    <w:rsid w:val="002E22E7"/>
    <w:rsid w:val="002E604C"/>
    <w:rsid w:val="002E6D67"/>
    <w:rsid w:val="002E7135"/>
    <w:rsid w:val="002F0DC8"/>
    <w:rsid w:val="003026FF"/>
    <w:rsid w:val="00315ECA"/>
    <w:rsid w:val="0033797F"/>
    <w:rsid w:val="00342F46"/>
    <w:rsid w:val="00343DD2"/>
    <w:rsid w:val="003443A8"/>
    <w:rsid w:val="00352DE9"/>
    <w:rsid w:val="00356C1B"/>
    <w:rsid w:val="00356C69"/>
    <w:rsid w:val="0038082A"/>
    <w:rsid w:val="00387B1B"/>
    <w:rsid w:val="00392DD7"/>
    <w:rsid w:val="00394166"/>
    <w:rsid w:val="00394FCC"/>
    <w:rsid w:val="003950CB"/>
    <w:rsid w:val="00397027"/>
    <w:rsid w:val="003A1C35"/>
    <w:rsid w:val="003A4A99"/>
    <w:rsid w:val="003A72CF"/>
    <w:rsid w:val="003B1EA8"/>
    <w:rsid w:val="003C610C"/>
    <w:rsid w:val="003F0C7A"/>
    <w:rsid w:val="003F18B1"/>
    <w:rsid w:val="00406796"/>
    <w:rsid w:val="00406EE0"/>
    <w:rsid w:val="0041564C"/>
    <w:rsid w:val="00421A39"/>
    <w:rsid w:val="004261A5"/>
    <w:rsid w:val="004269C2"/>
    <w:rsid w:val="004303A0"/>
    <w:rsid w:val="00431C90"/>
    <w:rsid w:val="00433582"/>
    <w:rsid w:val="004428EE"/>
    <w:rsid w:val="00452CF3"/>
    <w:rsid w:val="00453B33"/>
    <w:rsid w:val="00460AD6"/>
    <w:rsid w:val="0046751F"/>
    <w:rsid w:val="0047146D"/>
    <w:rsid w:val="0047558F"/>
    <w:rsid w:val="00476B4E"/>
    <w:rsid w:val="00480742"/>
    <w:rsid w:val="00480854"/>
    <w:rsid w:val="00482844"/>
    <w:rsid w:val="0048296A"/>
    <w:rsid w:val="00484BC4"/>
    <w:rsid w:val="00492FDF"/>
    <w:rsid w:val="004964E4"/>
    <w:rsid w:val="004A363C"/>
    <w:rsid w:val="004B4931"/>
    <w:rsid w:val="004C0E64"/>
    <w:rsid w:val="004C4881"/>
    <w:rsid w:val="004E19EF"/>
    <w:rsid w:val="004E5159"/>
    <w:rsid w:val="00501767"/>
    <w:rsid w:val="005103C2"/>
    <w:rsid w:val="00511BBF"/>
    <w:rsid w:val="00517AF9"/>
    <w:rsid w:val="00521CFE"/>
    <w:rsid w:val="005321D0"/>
    <w:rsid w:val="0053529A"/>
    <w:rsid w:val="00547891"/>
    <w:rsid w:val="00550B41"/>
    <w:rsid w:val="005511D6"/>
    <w:rsid w:val="005608C3"/>
    <w:rsid w:val="00560C5E"/>
    <w:rsid w:val="00564801"/>
    <w:rsid w:val="00565299"/>
    <w:rsid w:val="00570C2C"/>
    <w:rsid w:val="00572914"/>
    <w:rsid w:val="005751D9"/>
    <w:rsid w:val="00581335"/>
    <w:rsid w:val="0058168B"/>
    <w:rsid w:val="00584111"/>
    <w:rsid w:val="005847E1"/>
    <w:rsid w:val="0058499A"/>
    <w:rsid w:val="0058757B"/>
    <w:rsid w:val="00592D58"/>
    <w:rsid w:val="0059477B"/>
    <w:rsid w:val="00597439"/>
    <w:rsid w:val="005A23DE"/>
    <w:rsid w:val="005A492A"/>
    <w:rsid w:val="005B0139"/>
    <w:rsid w:val="005B3DD2"/>
    <w:rsid w:val="005C4353"/>
    <w:rsid w:val="005D1767"/>
    <w:rsid w:val="005D19DD"/>
    <w:rsid w:val="005D19F4"/>
    <w:rsid w:val="005D6C44"/>
    <w:rsid w:val="005E13E0"/>
    <w:rsid w:val="005E2C1A"/>
    <w:rsid w:val="005E6080"/>
    <w:rsid w:val="005F5F54"/>
    <w:rsid w:val="00603093"/>
    <w:rsid w:val="00603E02"/>
    <w:rsid w:val="00604371"/>
    <w:rsid w:val="00607245"/>
    <w:rsid w:val="0061192E"/>
    <w:rsid w:val="00612B9E"/>
    <w:rsid w:val="00627A83"/>
    <w:rsid w:val="0063143E"/>
    <w:rsid w:val="00631BB0"/>
    <w:rsid w:val="0063327F"/>
    <w:rsid w:val="00633B2F"/>
    <w:rsid w:val="00635E4E"/>
    <w:rsid w:val="006376B2"/>
    <w:rsid w:val="00640EA9"/>
    <w:rsid w:val="006416D0"/>
    <w:rsid w:val="006417DF"/>
    <w:rsid w:val="0064317C"/>
    <w:rsid w:val="00650A30"/>
    <w:rsid w:val="00650D91"/>
    <w:rsid w:val="00654CA9"/>
    <w:rsid w:val="00656277"/>
    <w:rsid w:val="00662A0F"/>
    <w:rsid w:val="00692C1B"/>
    <w:rsid w:val="006A66D1"/>
    <w:rsid w:val="006B2E1A"/>
    <w:rsid w:val="006B5174"/>
    <w:rsid w:val="006B5CE1"/>
    <w:rsid w:val="006B713C"/>
    <w:rsid w:val="006C1F6E"/>
    <w:rsid w:val="006D41D2"/>
    <w:rsid w:val="006E614D"/>
    <w:rsid w:val="006F0AB1"/>
    <w:rsid w:val="006F3CEB"/>
    <w:rsid w:val="006F5FBD"/>
    <w:rsid w:val="00715FB2"/>
    <w:rsid w:val="00721FF9"/>
    <w:rsid w:val="00734153"/>
    <w:rsid w:val="00737975"/>
    <w:rsid w:val="00741A13"/>
    <w:rsid w:val="00743970"/>
    <w:rsid w:val="007565A5"/>
    <w:rsid w:val="0076218E"/>
    <w:rsid w:val="00763A25"/>
    <w:rsid w:val="007731E4"/>
    <w:rsid w:val="00783103"/>
    <w:rsid w:val="0079559B"/>
    <w:rsid w:val="007A512D"/>
    <w:rsid w:val="007B0EB1"/>
    <w:rsid w:val="007B23EA"/>
    <w:rsid w:val="007B474A"/>
    <w:rsid w:val="007B6731"/>
    <w:rsid w:val="007C17EE"/>
    <w:rsid w:val="007E05CC"/>
    <w:rsid w:val="007E398D"/>
    <w:rsid w:val="007E7F89"/>
    <w:rsid w:val="007F1AB6"/>
    <w:rsid w:val="007F3FB0"/>
    <w:rsid w:val="007F5ACC"/>
    <w:rsid w:val="007F7E55"/>
    <w:rsid w:val="008014DA"/>
    <w:rsid w:val="00802903"/>
    <w:rsid w:val="008245FF"/>
    <w:rsid w:val="0082653C"/>
    <w:rsid w:val="00827D43"/>
    <w:rsid w:val="008325BB"/>
    <w:rsid w:val="008438EC"/>
    <w:rsid w:val="008466D9"/>
    <w:rsid w:val="008470FB"/>
    <w:rsid w:val="0086455F"/>
    <w:rsid w:val="0087108E"/>
    <w:rsid w:val="00877715"/>
    <w:rsid w:val="00885589"/>
    <w:rsid w:val="008855F3"/>
    <w:rsid w:val="00892312"/>
    <w:rsid w:val="008A4EB9"/>
    <w:rsid w:val="008B2FE7"/>
    <w:rsid w:val="008D0217"/>
    <w:rsid w:val="008D0A55"/>
    <w:rsid w:val="008D7EC8"/>
    <w:rsid w:val="008E784F"/>
    <w:rsid w:val="008F18B7"/>
    <w:rsid w:val="008F1E64"/>
    <w:rsid w:val="0090783F"/>
    <w:rsid w:val="00922CF2"/>
    <w:rsid w:val="009273B6"/>
    <w:rsid w:val="0093130D"/>
    <w:rsid w:val="00936165"/>
    <w:rsid w:val="00940E18"/>
    <w:rsid w:val="009438E3"/>
    <w:rsid w:val="009447B4"/>
    <w:rsid w:val="00946054"/>
    <w:rsid w:val="00962D69"/>
    <w:rsid w:val="00965075"/>
    <w:rsid w:val="009706A3"/>
    <w:rsid w:val="00973EF9"/>
    <w:rsid w:val="00974FF8"/>
    <w:rsid w:val="009760B7"/>
    <w:rsid w:val="00985BA2"/>
    <w:rsid w:val="0098639D"/>
    <w:rsid w:val="00987DAC"/>
    <w:rsid w:val="00991C61"/>
    <w:rsid w:val="00992FC5"/>
    <w:rsid w:val="009A1D9F"/>
    <w:rsid w:val="009A37FD"/>
    <w:rsid w:val="009B3AFF"/>
    <w:rsid w:val="009B6192"/>
    <w:rsid w:val="009C03E8"/>
    <w:rsid w:val="009C0B2F"/>
    <w:rsid w:val="009C1067"/>
    <w:rsid w:val="009D67CE"/>
    <w:rsid w:val="009E512D"/>
    <w:rsid w:val="009E6355"/>
    <w:rsid w:val="00A0451A"/>
    <w:rsid w:val="00A1220A"/>
    <w:rsid w:val="00A13AB9"/>
    <w:rsid w:val="00A256EB"/>
    <w:rsid w:val="00A2679F"/>
    <w:rsid w:val="00A30D28"/>
    <w:rsid w:val="00A33717"/>
    <w:rsid w:val="00A43987"/>
    <w:rsid w:val="00A5050A"/>
    <w:rsid w:val="00A54B25"/>
    <w:rsid w:val="00A62C47"/>
    <w:rsid w:val="00A62E61"/>
    <w:rsid w:val="00A77DF8"/>
    <w:rsid w:val="00A822B3"/>
    <w:rsid w:val="00A87D68"/>
    <w:rsid w:val="00A924B1"/>
    <w:rsid w:val="00A93504"/>
    <w:rsid w:val="00A95340"/>
    <w:rsid w:val="00A958B2"/>
    <w:rsid w:val="00AA0E84"/>
    <w:rsid w:val="00AB710E"/>
    <w:rsid w:val="00AB743B"/>
    <w:rsid w:val="00AC64CA"/>
    <w:rsid w:val="00AD3E34"/>
    <w:rsid w:val="00AD67C4"/>
    <w:rsid w:val="00AE1D39"/>
    <w:rsid w:val="00AE3341"/>
    <w:rsid w:val="00AE7602"/>
    <w:rsid w:val="00AE7846"/>
    <w:rsid w:val="00AF0E93"/>
    <w:rsid w:val="00AF307C"/>
    <w:rsid w:val="00AF3ACF"/>
    <w:rsid w:val="00AF7B03"/>
    <w:rsid w:val="00B11021"/>
    <w:rsid w:val="00B15506"/>
    <w:rsid w:val="00B30C46"/>
    <w:rsid w:val="00B37736"/>
    <w:rsid w:val="00B42947"/>
    <w:rsid w:val="00B4296C"/>
    <w:rsid w:val="00B523ED"/>
    <w:rsid w:val="00B52479"/>
    <w:rsid w:val="00B559E7"/>
    <w:rsid w:val="00B60205"/>
    <w:rsid w:val="00B637C4"/>
    <w:rsid w:val="00B64188"/>
    <w:rsid w:val="00B642AA"/>
    <w:rsid w:val="00B759C1"/>
    <w:rsid w:val="00B81573"/>
    <w:rsid w:val="00B829E7"/>
    <w:rsid w:val="00B8347C"/>
    <w:rsid w:val="00B835FB"/>
    <w:rsid w:val="00B9023E"/>
    <w:rsid w:val="00B97ED5"/>
    <w:rsid w:val="00BA6D8E"/>
    <w:rsid w:val="00BA7A9F"/>
    <w:rsid w:val="00BA7FD5"/>
    <w:rsid w:val="00BB1907"/>
    <w:rsid w:val="00BB3369"/>
    <w:rsid w:val="00BB3E65"/>
    <w:rsid w:val="00BC6FC7"/>
    <w:rsid w:val="00BD089D"/>
    <w:rsid w:val="00BD2D37"/>
    <w:rsid w:val="00BF6C9A"/>
    <w:rsid w:val="00C07BA3"/>
    <w:rsid w:val="00C114B5"/>
    <w:rsid w:val="00C237EA"/>
    <w:rsid w:val="00C36174"/>
    <w:rsid w:val="00C407F4"/>
    <w:rsid w:val="00C6519A"/>
    <w:rsid w:val="00C66130"/>
    <w:rsid w:val="00C671D2"/>
    <w:rsid w:val="00C7443C"/>
    <w:rsid w:val="00C8288B"/>
    <w:rsid w:val="00C96D39"/>
    <w:rsid w:val="00CB0F65"/>
    <w:rsid w:val="00CB19C8"/>
    <w:rsid w:val="00CB331C"/>
    <w:rsid w:val="00CB3DAF"/>
    <w:rsid w:val="00CC73CC"/>
    <w:rsid w:val="00CD0FED"/>
    <w:rsid w:val="00CD26C5"/>
    <w:rsid w:val="00CD5A54"/>
    <w:rsid w:val="00CD7CC0"/>
    <w:rsid w:val="00CE05E4"/>
    <w:rsid w:val="00CE3578"/>
    <w:rsid w:val="00CF11FA"/>
    <w:rsid w:val="00D15830"/>
    <w:rsid w:val="00D20D51"/>
    <w:rsid w:val="00D30E3B"/>
    <w:rsid w:val="00D3413B"/>
    <w:rsid w:val="00D421A7"/>
    <w:rsid w:val="00D4297E"/>
    <w:rsid w:val="00D46E33"/>
    <w:rsid w:val="00D47775"/>
    <w:rsid w:val="00D5295A"/>
    <w:rsid w:val="00D565D7"/>
    <w:rsid w:val="00D56F22"/>
    <w:rsid w:val="00D57EC5"/>
    <w:rsid w:val="00D6047E"/>
    <w:rsid w:val="00D63CED"/>
    <w:rsid w:val="00D679B7"/>
    <w:rsid w:val="00D70464"/>
    <w:rsid w:val="00D7071E"/>
    <w:rsid w:val="00D91B64"/>
    <w:rsid w:val="00D93E6D"/>
    <w:rsid w:val="00DA0374"/>
    <w:rsid w:val="00DB40F9"/>
    <w:rsid w:val="00DB55D7"/>
    <w:rsid w:val="00DC1185"/>
    <w:rsid w:val="00DC6CBB"/>
    <w:rsid w:val="00DE4B77"/>
    <w:rsid w:val="00DE5B10"/>
    <w:rsid w:val="00DE658E"/>
    <w:rsid w:val="00E06FDE"/>
    <w:rsid w:val="00E154B9"/>
    <w:rsid w:val="00E247DB"/>
    <w:rsid w:val="00E262CB"/>
    <w:rsid w:val="00E27FC4"/>
    <w:rsid w:val="00E322D8"/>
    <w:rsid w:val="00E400B6"/>
    <w:rsid w:val="00E40211"/>
    <w:rsid w:val="00E44259"/>
    <w:rsid w:val="00E67F1F"/>
    <w:rsid w:val="00E8016D"/>
    <w:rsid w:val="00E803A1"/>
    <w:rsid w:val="00E81700"/>
    <w:rsid w:val="00E871FE"/>
    <w:rsid w:val="00EA0865"/>
    <w:rsid w:val="00EA2770"/>
    <w:rsid w:val="00EA5BCF"/>
    <w:rsid w:val="00EA7DDF"/>
    <w:rsid w:val="00EB170A"/>
    <w:rsid w:val="00ED133B"/>
    <w:rsid w:val="00ED29E0"/>
    <w:rsid w:val="00ED3312"/>
    <w:rsid w:val="00ED456F"/>
    <w:rsid w:val="00ED495F"/>
    <w:rsid w:val="00EE25CE"/>
    <w:rsid w:val="00EF3082"/>
    <w:rsid w:val="00EF482D"/>
    <w:rsid w:val="00EF758D"/>
    <w:rsid w:val="00F0322E"/>
    <w:rsid w:val="00F06A9E"/>
    <w:rsid w:val="00F11D4A"/>
    <w:rsid w:val="00F13A5E"/>
    <w:rsid w:val="00F23A62"/>
    <w:rsid w:val="00F256A7"/>
    <w:rsid w:val="00F2704F"/>
    <w:rsid w:val="00F275CB"/>
    <w:rsid w:val="00F27766"/>
    <w:rsid w:val="00F3440A"/>
    <w:rsid w:val="00F36DD9"/>
    <w:rsid w:val="00F37839"/>
    <w:rsid w:val="00F40417"/>
    <w:rsid w:val="00F4552B"/>
    <w:rsid w:val="00F53BEB"/>
    <w:rsid w:val="00F57326"/>
    <w:rsid w:val="00F57DA6"/>
    <w:rsid w:val="00F65C8B"/>
    <w:rsid w:val="00F74BDA"/>
    <w:rsid w:val="00F90EF3"/>
    <w:rsid w:val="00F9389E"/>
    <w:rsid w:val="00FC0D68"/>
    <w:rsid w:val="00FC3BEF"/>
    <w:rsid w:val="00FD1851"/>
    <w:rsid w:val="00FD2405"/>
    <w:rsid w:val="00FE1D99"/>
    <w:rsid w:val="00FE5817"/>
    <w:rsid w:val="00FE7C27"/>
    <w:rsid w:val="00FF5425"/>
    <w:rsid w:val="00FF5B20"/>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C44"/>
    <w:rPr>
      <w:sz w:val="28"/>
      <w:szCs w:val="28"/>
    </w:rPr>
  </w:style>
  <w:style w:type="paragraph" w:styleId="Heading1">
    <w:name w:val="heading 1"/>
    <w:basedOn w:val="Normal"/>
    <w:link w:val="Heading1Char"/>
    <w:uiPriority w:val="9"/>
    <w:qFormat/>
    <w:rsid w:val="004067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rsid w:val="002E604C"/>
    <w:pPr>
      <w:spacing w:before="60" w:after="60" w:line="240" w:lineRule="atLeast"/>
      <w:jc w:val="both"/>
    </w:pPr>
    <w:rPr>
      <w:sz w:val="24"/>
      <w:szCs w:val="24"/>
    </w:rPr>
  </w:style>
  <w:style w:type="character" w:customStyle="1" w:styleId="tableChar">
    <w:name w:val="table Char"/>
    <w:link w:val="table"/>
    <w:rsid w:val="002E604C"/>
    <w:rPr>
      <w:sz w:val="24"/>
      <w:szCs w:val="24"/>
      <w:lang w:val="en-US" w:eastAsia="en-US" w:bidi="ar-SA"/>
    </w:rPr>
  </w:style>
  <w:style w:type="table" w:styleId="TableGrid">
    <w:name w:val="Table Grid"/>
    <w:basedOn w:val="TableNormal"/>
    <w:rsid w:val="00AF30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al"/>
    <w:rsid w:val="00FE5817"/>
    <w:pPr>
      <w:spacing w:after="160" w:line="240" w:lineRule="exact"/>
    </w:pPr>
    <w:rPr>
      <w:rFonts w:ascii="Verdana" w:hAnsi="Verdana" w:cs="Verdana"/>
      <w:sz w:val="20"/>
      <w:szCs w:val="20"/>
    </w:rPr>
  </w:style>
  <w:style w:type="paragraph" w:styleId="BalloonText">
    <w:name w:val="Balloon Text"/>
    <w:basedOn w:val="Normal"/>
    <w:link w:val="BalloonTextChar"/>
    <w:rsid w:val="006C1F6E"/>
    <w:rPr>
      <w:rFonts w:ascii="Tahoma" w:hAnsi="Tahoma"/>
      <w:sz w:val="16"/>
      <w:szCs w:val="16"/>
    </w:rPr>
  </w:style>
  <w:style w:type="character" w:customStyle="1" w:styleId="BalloonTextChar">
    <w:name w:val="Balloon Text Char"/>
    <w:link w:val="BalloonText"/>
    <w:rsid w:val="006C1F6E"/>
    <w:rPr>
      <w:rFonts w:ascii="Tahoma" w:hAnsi="Tahoma" w:cs="Tahoma"/>
      <w:sz w:val="16"/>
      <w:szCs w:val="16"/>
    </w:rPr>
  </w:style>
  <w:style w:type="paragraph" w:customStyle="1" w:styleId="CharCharCharChar0">
    <w:name w:val="Char Char Char Char"/>
    <w:basedOn w:val="Normal"/>
    <w:rsid w:val="00166851"/>
    <w:pPr>
      <w:spacing w:after="160" w:line="240" w:lineRule="exact"/>
    </w:pPr>
    <w:rPr>
      <w:rFonts w:ascii="Verdana" w:hAnsi="Verdana" w:cs="Verdana"/>
      <w:sz w:val="20"/>
    </w:rPr>
  </w:style>
  <w:style w:type="character" w:styleId="Hyperlink">
    <w:name w:val="Hyperlink"/>
    <w:rsid w:val="007C17EE"/>
    <w:rPr>
      <w:color w:val="0000FF"/>
      <w:u w:val="single"/>
    </w:rPr>
  </w:style>
  <w:style w:type="paragraph" w:styleId="Header">
    <w:name w:val="header"/>
    <w:basedOn w:val="Normal"/>
    <w:link w:val="HeaderChar"/>
    <w:rsid w:val="00453B33"/>
    <w:pPr>
      <w:tabs>
        <w:tab w:val="center" w:pos="4680"/>
        <w:tab w:val="right" w:pos="9360"/>
      </w:tabs>
    </w:pPr>
  </w:style>
  <w:style w:type="character" w:customStyle="1" w:styleId="HeaderChar">
    <w:name w:val="Header Char"/>
    <w:link w:val="Header"/>
    <w:rsid w:val="00453B33"/>
    <w:rPr>
      <w:sz w:val="28"/>
      <w:szCs w:val="28"/>
    </w:rPr>
  </w:style>
  <w:style w:type="paragraph" w:styleId="Footer">
    <w:name w:val="footer"/>
    <w:basedOn w:val="Normal"/>
    <w:link w:val="FooterChar"/>
    <w:uiPriority w:val="99"/>
    <w:rsid w:val="00453B33"/>
    <w:pPr>
      <w:tabs>
        <w:tab w:val="center" w:pos="4680"/>
        <w:tab w:val="right" w:pos="9360"/>
      </w:tabs>
    </w:pPr>
  </w:style>
  <w:style w:type="character" w:customStyle="1" w:styleId="FooterChar">
    <w:name w:val="Footer Char"/>
    <w:link w:val="Footer"/>
    <w:uiPriority w:val="99"/>
    <w:rsid w:val="00453B33"/>
    <w:rPr>
      <w:sz w:val="28"/>
      <w:szCs w:val="28"/>
    </w:rPr>
  </w:style>
  <w:style w:type="paragraph" w:styleId="NormalWeb">
    <w:name w:val="Normal (Web)"/>
    <w:basedOn w:val="Normal"/>
    <w:uiPriority w:val="99"/>
    <w:rsid w:val="00130CD4"/>
    <w:pPr>
      <w:spacing w:before="100" w:beforeAutospacing="1" w:after="100" w:afterAutospacing="1"/>
    </w:pPr>
    <w:rPr>
      <w:rFonts w:eastAsia="MS Mincho"/>
      <w:sz w:val="24"/>
      <w:szCs w:val="24"/>
      <w:lang w:eastAsia="ja-JP"/>
    </w:rPr>
  </w:style>
  <w:style w:type="character" w:customStyle="1" w:styleId="Heading1Char">
    <w:name w:val="Heading 1 Char"/>
    <w:basedOn w:val="DefaultParagraphFont"/>
    <w:link w:val="Heading1"/>
    <w:uiPriority w:val="9"/>
    <w:rsid w:val="00406796"/>
    <w:rPr>
      <w:b/>
      <w:bCs/>
      <w:kern w:val="36"/>
      <w:sz w:val="48"/>
      <w:szCs w:val="48"/>
    </w:rPr>
  </w:style>
  <w:style w:type="paragraph" w:styleId="ListParagraph">
    <w:name w:val="List Paragraph"/>
    <w:basedOn w:val="Normal"/>
    <w:uiPriority w:val="34"/>
    <w:qFormat/>
    <w:rsid w:val="00650D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6C44"/>
    <w:rPr>
      <w:sz w:val="28"/>
      <w:szCs w:val="28"/>
    </w:rPr>
  </w:style>
  <w:style w:type="paragraph" w:styleId="Heading1">
    <w:name w:val="heading 1"/>
    <w:basedOn w:val="Normal"/>
    <w:link w:val="Heading1Char"/>
    <w:uiPriority w:val="9"/>
    <w:qFormat/>
    <w:rsid w:val="00406796"/>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link w:val="tableChar"/>
    <w:rsid w:val="002E604C"/>
    <w:pPr>
      <w:spacing w:before="60" w:after="60" w:line="240" w:lineRule="atLeast"/>
      <w:jc w:val="both"/>
    </w:pPr>
    <w:rPr>
      <w:sz w:val="24"/>
      <w:szCs w:val="24"/>
    </w:rPr>
  </w:style>
  <w:style w:type="character" w:customStyle="1" w:styleId="tableChar">
    <w:name w:val="table Char"/>
    <w:link w:val="table"/>
    <w:rsid w:val="002E604C"/>
    <w:rPr>
      <w:sz w:val="24"/>
      <w:szCs w:val="24"/>
      <w:lang w:val="en-US" w:eastAsia="en-US" w:bidi="ar-SA"/>
    </w:rPr>
  </w:style>
  <w:style w:type="table" w:styleId="TableGrid">
    <w:name w:val="Table Grid"/>
    <w:basedOn w:val="TableNormal"/>
    <w:rsid w:val="00AF30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Char">
    <w:name w:val="Char Char Char Char"/>
    <w:basedOn w:val="Normal"/>
    <w:rsid w:val="00FE5817"/>
    <w:pPr>
      <w:spacing w:after="160" w:line="240" w:lineRule="exact"/>
    </w:pPr>
    <w:rPr>
      <w:rFonts w:ascii="Verdana" w:hAnsi="Verdana" w:cs="Verdana"/>
      <w:sz w:val="20"/>
      <w:szCs w:val="20"/>
    </w:rPr>
  </w:style>
  <w:style w:type="paragraph" w:styleId="BalloonText">
    <w:name w:val="Balloon Text"/>
    <w:basedOn w:val="Normal"/>
    <w:link w:val="BalloonTextChar"/>
    <w:rsid w:val="006C1F6E"/>
    <w:rPr>
      <w:rFonts w:ascii="Tahoma" w:hAnsi="Tahoma"/>
      <w:sz w:val="16"/>
      <w:szCs w:val="16"/>
    </w:rPr>
  </w:style>
  <w:style w:type="character" w:customStyle="1" w:styleId="BalloonTextChar">
    <w:name w:val="Balloon Text Char"/>
    <w:link w:val="BalloonText"/>
    <w:rsid w:val="006C1F6E"/>
    <w:rPr>
      <w:rFonts w:ascii="Tahoma" w:hAnsi="Tahoma" w:cs="Tahoma"/>
      <w:sz w:val="16"/>
      <w:szCs w:val="16"/>
    </w:rPr>
  </w:style>
  <w:style w:type="paragraph" w:customStyle="1" w:styleId="CharCharCharChar0">
    <w:name w:val="Char Char Char Char"/>
    <w:basedOn w:val="Normal"/>
    <w:rsid w:val="00166851"/>
    <w:pPr>
      <w:spacing w:after="160" w:line="240" w:lineRule="exact"/>
    </w:pPr>
    <w:rPr>
      <w:rFonts w:ascii="Verdana" w:hAnsi="Verdana" w:cs="Verdana"/>
      <w:sz w:val="20"/>
    </w:rPr>
  </w:style>
  <w:style w:type="character" w:styleId="Hyperlink">
    <w:name w:val="Hyperlink"/>
    <w:rsid w:val="007C17EE"/>
    <w:rPr>
      <w:color w:val="0000FF"/>
      <w:u w:val="single"/>
    </w:rPr>
  </w:style>
  <w:style w:type="paragraph" w:styleId="Header">
    <w:name w:val="header"/>
    <w:basedOn w:val="Normal"/>
    <w:link w:val="HeaderChar"/>
    <w:rsid w:val="00453B33"/>
    <w:pPr>
      <w:tabs>
        <w:tab w:val="center" w:pos="4680"/>
        <w:tab w:val="right" w:pos="9360"/>
      </w:tabs>
    </w:pPr>
  </w:style>
  <w:style w:type="character" w:customStyle="1" w:styleId="HeaderChar">
    <w:name w:val="Header Char"/>
    <w:link w:val="Header"/>
    <w:rsid w:val="00453B33"/>
    <w:rPr>
      <w:sz w:val="28"/>
      <w:szCs w:val="28"/>
    </w:rPr>
  </w:style>
  <w:style w:type="paragraph" w:styleId="Footer">
    <w:name w:val="footer"/>
    <w:basedOn w:val="Normal"/>
    <w:link w:val="FooterChar"/>
    <w:uiPriority w:val="99"/>
    <w:rsid w:val="00453B33"/>
    <w:pPr>
      <w:tabs>
        <w:tab w:val="center" w:pos="4680"/>
        <w:tab w:val="right" w:pos="9360"/>
      </w:tabs>
    </w:pPr>
  </w:style>
  <w:style w:type="character" w:customStyle="1" w:styleId="FooterChar">
    <w:name w:val="Footer Char"/>
    <w:link w:val="Footer"/>
    <w:uiPriority w:val="99"/>
    <w:rsid w:val="00453B33"/>
    <w:rPr>
      <w:sz w:val="28"/>
      <w:szCs w:val="28"/>
    </w:rPr>
  </w:style>
  <w:style w:type="paragraph" w:styleId="NormalWeb">
    <w:name w:val="Normal (Web)"/>
    <w:basedOn w:val="Normal"/>
    <w:uiPriority w:val="99"/>
    <w:rsid w:val="00130CD4"/>
    <w:pPr>
      <w:spacing w:before="100" w:beforeAutospacing="1" w:after="100" w:afterAutospacing="1"/>
    </w:pPr>
    <w:rPr>
      <w:rFonts w:eastAsia="MS Mincho"/>
      <w:sz w:val="24"/>
      <w:szCs w:val="24"/>
      <w:lang w:eastAsia="ja-JP"/>
    </w:rPr>
  </w:style>
  <w:style w:type="character" w:customStyle="1" w:styleId="Heading1Char">
    <w:name w:val="Heading 1 Char"/>
    <w:basedOn w:val="DefaultParagraphFont"/>
    <w:link w:val="Heading1"/>
    <w:uiPriority w:val="9"/>
    <w:rsid w:val="00406796"/>
    <w:rPr>
      <w:b/>
      <w:bCs/>
      <w:kern w:val="36"/>
      <w:sz w:val="48"/>
      <w:szCs w:val="48"/>
    </w:rPr>
  </w:style>
  <w:style w:type="paragraph" w:styleId="ListParagraph">
    <w:name w:val="List Paragraph"/>
    <w:basedOn w:val="Normal"/>
    <w:uiPriority w:val="34"/>
    <w:qFormat/>
    <w:rsid w:val="0065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31468">
      <w:bodyDiv w:val="1"/>
      <w:marLeft w:val="0"/>
      <w:marRight w:val="0"/>
      <w:marTop w:val="0"/>
      <w:marBottom w:val="0"/>
      <w:divBdr>
        <w:top w:val="none" w:sz="0" w:space="0" w:color="auto"/>
        <w:left w:val="none" w:sz="0" w:space="0" w:color="auto"/>
        <w:bottom w:val="none" w:sz="0" w:space="0" w:color="auto"/>
        <w:right w:val="none" w:sz="0" w:space="0" w:color="auto"/>
      </w:divBdr>
    </w:div>
    <w:div w:id="18686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TCVN/linh-vuc-khac/tcvn-iso-9001-2008-he-thong-quan-ly-chat-luong-cac-yeu-cau-903942.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4140</Words>
  <Characters>23599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ỦY BAN NHÂN DÂN  TỈNH HÀ TĨNH</vt:lpstr>
    </vt:vector>
  </TitlesOfParts>
  <Company>truong cao dang nghe ha tinh</Company>
  <LinksUpToDate>false</LinksUpToDate>
  <CharactersWithSpaces>27684</CharactersWithSpaces>
  <SharedDoc>false</SharedDoc>
  <HLinks>
    <vt:vector size="6" baseType="variant">
      <vt:variant>
        <vt:i4>4194318</vt:i4>
      </vt:variant>
      <vt:variant>
        <vt:i4>0</vt:i4>
      </vt:variant>
      <vt:variant>
        <vt:i4>0</vt:i4>
      </vt:variant>
      <vt:variant>
        <vt:i4>5</vt:i4>
      </vt:variant>
      <vt:variant>
        <vt:lpwstr>https://thuvienphapluat.vn/TCVN/linh-vuc-khac/tcvn-iso-9001-2008-he-thong-quan-ly-chat-luong-cac-yeu-cau-903942.aspx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HÀ TĨNH</dc:title>
  <dc:creator>lhi</dc:creator>
  <cp:lastModifiedBy>Lhi</cp:lastModifiedBy>
  <cp:revision>8</cp:revision>
  <cp:lastPrinted>2019-06-24T09:11:00Z</cp:lastPrinted>
  <dcterms:created xsi:type="dcterms:W3CDTF">2019-06-24T08:58:00Z</dcterms:created>
  <dcterms:modified xsi:type="dcterms:W3CDTF">2019-06-25T00:53:00Z</dcterms:modified>
</cp:coreProperties>
</file>